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39A06" w14:textId="30A7AA23" w:rsidR="006F28E5" w:rsidRPr="008D21FC" w:rsidRDefault="009A4F71" w:rsidP="006F28E5">
      <w:pPr>
        <w:jc w:val="center"/>
        <w:rPr>
          <w:b/>
          <w:sz w:val="28"/>
          <w:szCs w:val="28"/>
          <w:lang w:val="de-AT"/>
        </w:rPr>
      </w:pPr>
      <w:r w:rsidRPr="008D21FC">
        <w:rPr>
          <w:b/>
          <w:sz w:val="20"/>
          <w:szCs w:val="20"/>
          <w:lang w:val="de-AT"/>
        </w:rPr>
        <w:t>SCENARIO FOR EDUCATIONAL CLASSES</w:t>
      </w:r>
      <w:r w:rsidR="006F28E5" w:rsidRPr="008D21FC">
        <w:rPr>
          <w:b/>
          <w:sz w:val="28"/>
          <w:szCs w:val="28"/>
          <w:lang w:val="de-AT"/>
        </w:rPr>
        <w:t xml:space="preserve"> </w:t>
      </w:r>
    </w:p>
    <w:p w14:paraId="728DC710" w14:textId="77777777" w:rsidR="006F28E5" w:rsidRPr="006F28E5" w:rsidRDefault="006F28E5" w:rsidP="006F28E5">
      <w:pPr>
        <w:pStyle w:val="HTMLVorformatiert"/>
        <w:shd w:val="clear" w:color="auto" w:fill="F8F9FA"/>
        <w:spacing w:line="540" w:lineRule="atLeast"/>
        <w:jc w:val="center"/>
        <w:rPr>
          <w:rStyle w:val="y2iqfc"/>
          <w:rFonts w:asciiTheme="minorHAnsi" w:hAnsiTheme="minorHAnsi" w:cstheme="minorHAnsi"/>
          <w:b/>
          <w:bCs/>
          <w:color w:val="202124"/>
          <w:sz w:val="28"/>
          <w:szCs w:val="28"/>
          <w:lang w:val="de-DE"/>
        </w:rPr>
      </w:pPr>
      <w:r w:rsidRPr="006F28E5">
        <w:rPr>
          <w:rStyle w:val="y2iqfc"/>
          <w:rFonts w:asciiTheme="minorHAnsi" w:hAnsiTheme="minorHAnsi" w:cstheme="minorHAnsi"/>
          <w:b/>
          <w:bCs/>
          <w:color w:val="202124"/>
          <w:sz w:val="28"/>
          <w:szCs w:val="28"/>
          <w:lang w:val="de-DE"/>
        </w:rPr>
        <w:t>Geschlechtergleichheit und Schutz von Frauen</w:t>
      </w:r>
    </w:p>
    <w:p w14:paraId="05D25D58" w14:textId="45734794" w:rsidR="006F28E5" w:rsidRPr="006F28E5" w:rsidRDefault="006F28E5" w:rsidP="006F28E5">
      <w:pPr>
        <w:pStyle w:val="HTMLVorformatiert"/>
        <w:shd w:val="clear" w:color="auto" w:fill="F8F9FA"/>
        <w:spacing w:line="540" w:lineRule="atLeast"/>
        <w:jc w:val="center"/>
        <w:rPr>
          <w:rFonts w:asciiTheme="minorHAnsi" w:hAnsiTheme="minorHAnsi" w:cstheme="minorHAnsi"/>
          <w:b/>
          <w:bCs/>
          <w:color w:val="202124"/>
          <w:sz w:val="28"/>
          <w:szCs w:val="28"/>
        </w:rPr>
      </w:pPr>
      <w:r w:rsidRPr="006F28E5">
        <w:rPr>
          <w:rStyle w:val="y2iqfc"/>
          <w:rFonts w:asciiTheme="minorHAnsi" w:hAnsiTheme="minorHAnsi" w:cstheme="minorHAnsi"/>
          <w:b/>
          <w:bCs/>
          <w:color w:val="202124"/>
          <w:sz w:val="28"/>
          <w:szCs w:val="28"/>
          <w:lang w:val="de-DE"/>
        </w:rPr>
        <w:t>in der Europäischen Union</w:t>
      </w:r>
    </w:p>
    <w:p w14:paraId="2B36E100" w14:textId="77777777" w:rsidR="006F28E5" w:rsidRPr="006F28E5" w:rsidRDefault="006F28E5" w:rsidP="006F28E5">
      <w:pPr>
        <w:jc w:val="center"/>
        <w:rPr>
          <w:b/>
          <w:sz w:val="28"/>
          <w:szCs w:val="28"/>
          <w:lang w:val="de-AT"/>
        </w:rPr>
      </w:pPr>
    </w:p>
    <w:p w14:paraId="78922BF4" w14:textId="77777777" w:rsidR="00FD60BB" w:rsidRDefault="009A4F71">
      <w:pPr>
        <w:rPr>
          <w:b/>
          <w:sz w:val="20"/>
          <w:szCs w:val="20"/>
        </w:rPr>
      </w:pPr>
      <w:r w:rsidRPr="008D21FC">
        <w:rPr>
          <w:b/>
          <w:sz w:val="20"/>
          <w:szCs w:val="20"/>
          <w:lang w:val="de-AT"/>
        </w:rPr>
        <w:t xml:space="preserve">PART 1. </w:t>
      </w:r>
      <w:r>
        <w:rPr>
          <w:b/>
          <w:sz w:val="20"/>
          <w:szCs w:val="20"/>
        </w:rPr>
        <w:t>OF SCENARIO</w:t>
      </w:r>
    </w:p>
    <w:tbl>
      <w:tblPr>
        <w:tblStyle w:val="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7"/>
        <w:gridCol w:w="7225"/>
      </w:tblGrid>
      <w:tr w:rsidR="00FD60BB" w:rsidRPr="008D21FC" w14:paraId="02C11FFB" w14:textId="77777777">
        <w:tc>
          <w:tcPr>
            <w:tcW w:w="1837" w:type="dxa"/>
            <w:shd w:val="clear" w:color="auto" w:fill="D9D9D9"/>
          </w:tcPr>
          <w:p w14:paraId="1AAD2488" w14:textId="77777777" w:rsidR="00FD60BB" w:rsidRDefault="009A4F71">
            <w:pPr>
              <w:rPr>
                <w:b/>
                <w:sz w:val="20"/>
                <w:szCs w:val="20"/>
              </w:rPr>
            </w:pPr>
            <w:r>
              <w:rPr>
                <w:b/>
                <w:sz w:val="20"/>
                <w:szCs w:val="20"/>
              </w:rPr>
              <w:t>THEME  OF CLASSES</w:t>
            </w:r>
          </w:p>
        </w:tc>
        <w:tc>
          <w:tcPr>
            <w:tcW w:w="7225" w:type="dxa"/>
          </w:tcPr>
          <w:p w14:paraId="7FFF5AAA" w14:textId="3078BA9E" w:rsidR="006F28E5" w:rsidRPr="006F28E5" w:rsidRDefault="006F28E5" w:rsidP="006F28E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i/>
                <w:iCs/>
                <w:color w:val="202124"/>
                <w:lang w:val="de-DE" w:eastAsia="de-AT"/>
              </w:rPr>
            </w:pPr>
            <w:r w:rsidRPr="006F28E5">
              <w:rPr>
                <w:rFonts w:asciiTheme="minorHAnsi" w:eastAsia="Times New Roman" w:hAnsiTheme="minorHAnsi" w:cstheme="minorHAnsi"/>
                <w:i/>
                <w:iCs/>
                <w:color w:val="202124"/>
                <w:lang w:val="de-DE" w:eastAsia="de-AT"/>
              </w:rPr>
              <w:t>Geschlechtergleichheit im EU-Recht, Gleichstellung am Arbeitsplatz, Nichtdiskriminierung im EU-Primär- und Sekundärrecht sowie im nationalen Recht, Gleichbehandlung am Arbeitsplatz</w:t>
            </w:r>
            <w:r>
              <w:rPr>
                <w:rFonts w:asciiTheme="minorHAnsi" w:eastAsia="Times New Roman" w:hAnsiTheme="minorHAnsi" w:cstheme="minorHAnsi"/>
                <w:i/>
                <w:iCs/>
                <w:color w:val="202124"/>
                <w:lang w:val="de-DE" w:eastAsia="de-AT"/>
              </w:rPr>
              <w:t xml:space="preserve"> und speziell in der </w:t>
            </w:r>
            <w:r w:rsidRPr="006F28E5">
              <w:rPr>
                <w:rFonts w:asciiTheme="minorHAnsi" w:eastAsia="Times New Roman" w:hAnsiTheme="minorHAnsi" w:cstheme="minorHAnsi"/>
                <w:i/>
                <w:iCs/>
                <w:color w:val="202124"/>
                <w:lang w:val="de-DE" w:eastAsia="de-AT"/>
              </w:rPr>
              <w:t>akademische</w:t>
            </w:r>
            <w:r>
              <w:rPr>
                <w:rFonts w:asciiTheme="minorHAnsi" w:eastAsia="Times New Roman" w:hAnsiTheme="minorHAnsi" w:cstheme="minorHAnsi"/>
                <w:i/>
                <w:iCs/>
                <w:color w:val="202124"/>
                <w:lang w:val="de-DE" w:eastAsia="de-AT"/>
              </w:rPr>
              <w:t xml:space="preserve">n </w:t>
            </w:r>
            <w:r w:rsidRPr="006F28E5">
              <w:rPr>
                <w:rFonts w:asciiTheme="minorHAnsi" w:eastAsia="Times New Roman" w:hAnsiTheme="minorHAnsi" w:cstheme="minorHAnsi"/>
                <w:i/>
                <w:iCs/>
                <w:color w:val="202124"/>
                <w:lang w:val="de-DE" w:eastAsia="de-AT"/>
              </w:rPr>
              <w:t>Arbeit</w:t>
            </w:r>
          </w:p>
          <w:p w14:paraId="0246175C" w14:textId="77777777" w:rsidR="006F28E5" w:rsidRPr="006F28E5" w:rsidRDefault="006F28E5" w:rsidP="006F28E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i/>
                <w:iCs/>
                <w:color w:val="202124"/>
                <w:lang w:val="de-DE" w:eastAsia="de-AT"/>
              </w:rPr>
            </w:pPr>
          </w:p>
          <w:p w14:paraId="54C17945" w14:textId="77777777" w:rsidR="006F28E5" w:rsidRDefault="006F28E5" w:rsidP="006F28E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i/>
                <w:iCs/>
                <w:color w:val="202124"/>
                <w:lang w:val="de-DE" w:eastAsia="de-AT"/>
              </w:rPr>
            </w:pPr>
            <w:r w:rsidRPr="006F28E5">
              <w:rPr>
                <w:rFonts w:asciiTheme="minorHAnsi" w:eastAsia="Times New Roman" w:hAnsiTheme="minorHAnsi" w:cstheme="minorHAnsi"/>
                <w:i/>
                <w:iCs/>
                <w:color w:val="202124"/>
                <w:lang w:val="de-DE" w:eastAsia="de-AT"/>
              </w:rPr>
              <w:t xml:space="preserve">Der Kurs befasst sich </w:t>
            </w:r>
            <w:r>
              <w:rPr>
                <w:rFonts w:asciiTheme="minorHAnsi" w:eastAsia="Times New Roman" w:hAnsiTheme="minorHAnsi" w:cstheme="minorHAnsi"/>
                <w:i/>
                <w:iCs/>
                <w:color w:val="202124"/>
                <w:lang w:val="de-DE" w:eastAsia="de-AT"/>
              </w:rPr>
              <w:t xml:space="preserve">auch </w:t>
            </w:r>
            <w:r w:rsidRPr="006F28E5">
              <w:rPr>
                <w:rFonts w:asciiTheme="minorHAnsi" w:eastAsia="Times New Roman" w:hAnsiTheme="minorHAnsi" w:cstheme="minorHAnsi"/>
                <w:i/>
                <w:iCs/>
                <w:color w:val="202124"/>
                <w:lang w:val="de-DE" w:eastAsia="de-AT"/>
              </w:rPr>
              <w:t xml:space="preserve">mit den EU-Rechtsakten zur Bekämpfung von Gewalt gegen Frauen. </w:t>
            </w:r>
          </w:p>
          <w:p w14:paraId="0EE8B2AE" w14:textId="77777777" w:rsidR="006F28E5" w:rsidRDefault="006F28E5" w:rsidP="006F28E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i/>
                <w:iCs/>
                <w:color w:val="202124"/>
                <w:lang w:val="de-DE" w:eastAsia="de-AT"/>
              </w:rPr>
            </w:pPr>
          </w:p>
          <w:p w14:paraId="55FAD19A" w14:textId="101B7184" w:rsidR="006F28E5" w:rsidRPr="006F28E5" w:rsidRDefault="006F28E5" w:rsidP="006F28E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i/>
                <w:iCs/>
                <w:color w:val="202124"/>
                <w:lang w:val="de-AT" w:eastAsia="de-AT"/>
              </w:rPr>
            </w:pPr>
            <w:r w:rsidRPr="006F28E5">
              <w:rPr>
                <w:rFonts w:asciiTheme="minorHAnsi" w:eastAsia="Times New Roman" w:hAnsiTheme="minorHAnsi" w:cstheme="minorHAnsi"/>
                <w:i/>
                <w:iCs/>
                <w:color w:val="202124"/>
                <w:lang w:val="de-DE" w:eastAsia="de-AT"/>
              </w:rPr>
              <w:t>Es bietet einen umfassenden Einblick in alle im EU-Recht anwendbaren Rechtsakte. Ein weiterer Schwerpunkt des Kurses liegt auf Rechtsbehelfen und Maßnahmen gegen die Diskriminierung von Frauen</w:t>
            </w:r>
            <w:r>
              <w:rPr>
                <w:rFonts w:asciiTheme="minorHAnsi" w:eastAsia="Times New Roman" w:hAnsiTheme="minorHAnsi" w:cstheme="minorHAnsi"/>
                <w:i/>
                <w:iCs/>
                <w:color w:val="202124"/>
                <w:lang w:val="de-DE" w:eastAsia="de-AT"/>
              </w:rPr>
              <w:t>.</w:t>
            </w:r>
          </w:p>
          <w:p w14:paraId="7F5F36AA" w14:textId="21F2AE23" w:rsidR="0001423C" w:rsidRPr="008D21FC" w:rsidRDefault="0001423C" w:rsidP="006F28E5">
            <w:pPr>
              <w:rPr>
                <w:rFonts w:asciiTheme="minorHAnsi" w:hAnsiTheme="minorHAnsi" w:cstheme="minorHAnsi"/>
                <w:i/>
                <w:iCs/>
                <w:lang w:val="de-AT"/>
              </w:rPr>
            </w:pPr>
          </w:p>
        </w:tc>
      </w:tr>
      <w:tr w:rsidR="00FD60BB" w14:paraId="055C6DE9" w14:textId="77777777">
        <w:tc>
          <w:tcPr>
            <w:tcW w:w="1837" w:type="dxa"/>
            <w:shd w:val="clear" w:color="auto" w:fill="D9D9D9"/>
          </w:tcPr>
          <w:p w14:paraId="45F49C5A" w14:textId="77777777" w:rsidR="00FD60BB" w:rsidRDefault="009A4F71">
            <w:pPr>
              <w:rPr>
                <w:b/>
                <w:sz w:val="20"/>
                <w:szCs w:val="20"/>
              </w:rPr>
            </w:pPr>
            <w:r>
              <w:rPr>
                <w:b/>
                <w:sz w:val="20"/>
                <w:szCs w:val="20"/>
              </w:rPr>
              <w:t>TOPIC</w:t>
            </w:r>
          </w:p>
        </w:tc>
        <w:tc>
          <w:tcPr>
            <w:tcW w:w="7225" w:type="dxa"/>
          </w:tcPr>
          <w:p w14:paraId="3CB4BB87" w14:textId="77777777" w:rsidR="006F28E5" w:rsidRPr="006F28E5" w:rsidRDefault="006F28E5" w:rsidP="006F28E5">
            <w:pPr>
              <w:pStyle w:val="HTMLVorformatiert"/>
              <w:shd w:val="clear" w:color="auto" w:fill="F8F9FA"/>
              <w:rPr>
                <w:rStyle w:val="y2iqfc"/>
                <w:rFonts w:asciiTheme="minorHAnsi" w:hAnsiTheme="minorHAnsi" w:cstheme="minorHAnsi"/>
                <w:i/>
                <w:iCs/>
                <w:color w:val="202124"/>
                <w:sz w:val="22"/>
                <w:szCs w:val="22"/>
                <w:lang w:val="de-DE"/>
              </w:rPr>
            </w:pPr>
            <w:r w:rsidRPr="006F28E5">
              <w:rPr>
                <w:rStyle w:val="y2iqfc"/>
                <w:rFonts w:asciiTheme="minorHAnsi" w:hAnsiTheme="minorHAnsi" w:cstheme="minorHAnsi"/>
                <w:i/>
                <w:iCs/>
                <w:color w:val="202124"/>
                <w:sz w:val="22"/>
                <w:szCs w:val="22"/>
                <w:lang w:val="de-DE"/>
              </w:rPr>
              <w:t>Gleichstellungsrecht, Rechtsprechung des EuGH, Rechtsbehelfe und Rechtsprechung in ausgewählten Mitgliedstaaten</w:t>
            </w:r>
          </w:p>
          <w:p w14:paraId="7DE883DB" w14:textId="77777777" w:rsidR="006F28E5" w:rsidRDefault="006F28E5" w:rsidP="006F28E5">
            <w:pPr>
              <w:pStyle w:val="HTMLVorformatiert"/>
              <w:shd w:val="clear" w:color="auto" w:fill="F8F9FA"/>
              <w:rPr>
                <w:rStyle w:val="y2iqfc"/>
                <w:rFonts w:asciiTheme="minorHAnsi" w:hAnsiTheme="minorHAnsi" w:cstheme="minorHAnsi"/>
                <w:i/>
                <w:iCs/>
                <w:color w:val="202124"/>
                <w:sz w:val="22"/>
                <w:szCs w:val="22"/>
                <w:lang w:val="de-DE"/>
              </w:rPr>
            </w:pPr>
          </w:p>
          <w:p w14:paraId="7C8B1171" w14:textId="5C176144" w:rsidR="006F28E5" w:rsidRPr="006F28E5" w:rsidRDefault="006F28E5" w:rsidP="006F28E5">
            <w:pPr>
              <w:pStyle w:val="HTMLVorformatiert"/>
              <w:shd w:val="clear" w:color="auto" w:fill="F8F9FA"/>
              <w:rPr>
                <w:rStyle w:val="y2iqfc"/>
                <w:rFonts w:asciiTheme="minorHAnsi" w:hAnsiTheme="minorHAnsi" w:cstheme="minorHAnsi"/>
                <w:i/>
                <w:iCs/>
                <w:color w:val="202124"/>
                <w:sz w:val="22"/>
                <w:szCs w:val="22"/>
                <w:lang w:val="de-DE"/>
              </w:rPr>
            </w:pPr>
            <w:r w:rsidRPr="006F28E5">
              <w:rPr>
                <w:rStyle w:val="y2iqfc"/>
                <w:rFonts w:asciiTheme="minorHAnsi" w:hAnsiTheme="minorHAnsi" w:cstheme="minorHAnsi"/>
                <w:i/>
                <w:iCs/>
                <w:color w:val="202124"/>
                <w:sz w:val="22"/>
                <w:szCs w:val="22"/>
                <w:lang w:val="de-DE"/>
              </w:rPr>
              <w:t>Maßnahmen zur Erreichung der Gleichstellung in bestimmten Unternehmen Richtlinie (EU) 2022/2381 vom 23. November 2022 zur Verbesserung des Geschlechterverhältnisses unter den Geschäftsführern börsennotierter Unternehmen und damit verbundene Maßnahmen</w:t>
            </w:r>
          </w:p>
          <w:p w14:paraId="518C47C8" w14:textId="77777777" w:rsidR="006F28E5" w:rsidRDefault="006F28E5" w:rsidP="006F28E5">
            <w:pPr>
              <w:pStyle w:val="HTMLVorformatiert"/>
              <w:shd w:val="clear" w:color="auto" w:fill="F8F9FA"/>
              <w:rPr>
                <w:rStyle w:val="y2iqfc"/>
                <w:rFonts w:asciiTheme="minorHAnsi" w:hAnsiTheme="minorHAnsi" w:cstheme="minorHAnsi"/>
                <w:i/>
                <w:iCs/>
                <w:color w:val="202124"/>
                <w:sz w:val="22"/>
                <w:szCs w:val="22"/>
                <w:lang w:val="de-DE"/>
              </w:rPr>
            </w:pPr>
          </w:p>
          <w:p w14:paraId="7E290F5D" w14:textId="684078DE" w:rsidR="006F28E5" w:rsidRPr="006F28E5" w:rsidRDefault="006F28E5" w:rsidP="006F28E5">
            <w:pPr>
              <w:pStyle w:val="HTMLVorformatiert"/>
              <w:shd w:val="clear" w:color="auto" w:fill="F8F9FA"/>
              <w:rPr>
                <w:rStyle w:val="y2iqfc"/>
                <w:rFonts w:asciiTheme="minorHAnsi" w:hAnsiTheme="minorHAnsi" w:cstheme="minorHAnsi"/>
                <w:i/>
                <w:iCs/>
                <w:color w:val="202124"/>
                <w:sz w:val="22"/>
                <w:szCs w:val="22"/>
                <w:lang w:val="de-DE"/>
              </w:rPr>
            </w:pPr>
            <w:r w:rsidRPr="006F28E5">
              <w:rPr>
                <w:rStyle w:val="y2iqfc"/>
                <w:rFonts w:asciiTheme="minorHAnsi" w:hAnsiTheme="minorHAnsi" w:cstheme="minorHAnsi"/>
                <w:i/>
                <w:iCs/>
                <w:color w:val="202124"/>
                <w:sz w:val="22"/>
                <w:szCs w:val="22"/>
                <w:lang w:val="de-DE"/>
              </w:rPr>
              <w:t>Ratifizierung der Istanbul-Konvention durch die EU und ihre Folgen, Entwurf eines Sekundär</w:t>
            </w:r>
            <w:r>
              <w:rPr>
                <w:rStyle w:val="y2iqfc"/>
                <w:rFonts w:asciiTheme="minorHAnsi" w:hAnsiTheme="minorHAnsi" w:cstheme="minorHAnsi"/>
                <w:i/>
                <w:iCs/>
                <w:color w:val="202124"/>
                <w:sz w:val="22"/>
                <w:szCs w:val="22"/>
                <w:lang w:val="de-DE"/>
              </w:rPr>
              <w:t xml:space="preserve">rechtsaktes </w:t>
            </w:r>
            <w:r w:rsidRPr="006F28E5">
              <w:rPr>
                <w:rStyle w:val="y2iqfc"/>
                <w:rFonts w:asciiTheme="minorHAnsi" w:hAnsiTheme="minorHAnsi" w:cstheme="minorHAnsi"/>
                <w:i/>
                <w:iCs/>
                <w:color w:val="202124"/>
                <w:sz w:val="22"/>
                <w:szCs w:val="22"/>
                <w:lang w:val="de-DE"/>
              </w:rPr>
              <w:t>zur Bekämpfung von Gewalt gegen Frauen.</w:t>
            </w:r>
          </w:p>
          <w:p w14:paraId="4428B1F9" w14:textId="77777777" w:rsidR="006F28E5" w:rsidRDefault="006F28E5" w:rsidP="006F28E5">
            <w:pPr>
              <w:pStyle w:val="HTMLVorformatiert"/>
              <w:shd w:val="clear" w:color="auto" w:fill="F8F9FA"/>
              <w:rPr>
                <w:rStyle w:val="y2iqfc"/>
                <w:rFonts w:asciiTheme="minorHAnsi" w:hAnsiTheme="minorHAnsi" w:cstheme="minorHAnsi"/>
                <w:i/>
                <w:iCs/>
                <w:color w:val="202124"/>
                <w:sz w:val="22"/>
                <w:szCs w:val="22"/>
                <w:lang w:val="de-DE"/>
              </w:rPr>
            </w:pPr>
          </w:p>
          <w:p w14:paraId="083F519C" w14:textId="38698BE5" w:rsidR="006F28E5" w:rsidRPr="006F28E5" w:rsidRDefault="006F28E5" w:rsidP="006F28E5">
            <w:pPr>
              <w:pStyle w:val="HTMLVorformatiert"/>
              <w:shd w:val="clear" w:color="auto" w:fill="F8F9FA"/>
              <w:rPr>
                <w:rFonts w:asciiTheme="minorHAnsi" w:hAnsiTheme="minorHAnsi" w:cstheme="minorHAnsi"/>
                <w:i/>
                <w:iCs/>
                <w:color w:val="202124"/>
                <w:sz w:val="22"/>
                <w:szCs w:val="22"/>
              </w:rPr>
            </w:pPr>
            <w:r w:rsidRPr="006F28E5">
              <w:rPr>
                <w:rStyle w:val="y2iqfc"/>
                <w:rFonts w:asciiTheme="minorHAnsi" w:hAnsiTheme="minorHAnsi" w:cstheme="minorHAnsi"/>
                <w:i/>
                <w:iCs/>
                <w:color w:val="202124"/>
                <w:sz w:val="22"/>
                <w:szCs w:val="22"/>
                <w:lang w:val="de-DE"/>
              </w:rPr>
              <w:t>Inhalt der gesetzlichen Verpflichtungen</w:t>
            </w:r>
          </w:p>
          <w:p w14:paraId="69A1F5B7" w14:textId="77777777" w:rsidR="00FD60BB" w:rsidRPr="006F28E5" w:rsidRDefault="00FD60BB" w:rsidP="006F28E5">
            <w:pPr>
              <w:rPr>
                <w:rFonts w:asciiTheme="minorHAnsi" w:hAnsiTheme="minorHAnsi" w:cstheme="minorHAnsi"/>
                <w:i/>
                <w:iCs/>
              </w:rPr>
            </w:pPr>
          </w:p>
        </w:tc>
      </w:tr>
      <w:tr w:rsidR="00FD60BB" w14:paraId="4BCE08A0" w14:textId="77777777">
        <w:tc>
          <w:tcPr>
            <w:tcW w:w="1837" w:type="dxa"/>
            <w:shd w:val="clear" w:color="auto" w:fill="D9D9D9"/>
          </w:tcPr>
          <w:p w14:paraId="45F143DC" w14:textId="77777777" w:rsidR="00FD60BB" w:rsidRDefault="009A4F71">
            <w:pPr>
              <w:rPr>
                <w:b/>
                <w:sz w:val="20"/>
                <w:szCs w:val="20"/>
              </w:rPr>
            </w:pPr>
            <w:r>
              <w:rPr>
                <w:b/>
                <w:sz w:val="20"/>
                <w:szCs w:val="20"/>
              </w:rPr>
              <w:t>DURATION OF CLASSES</w:t>
            </w:r>
          </w:p>
        </w:tc>
        <w:tc>
          <w:tcPr>
            <w:tcW w:w="7225" w:type="dxa"/>
          </w:tcPr>
          <w:p w14:paraId="53C51BF3" w14:textId="77777777" w:rsidR="00FD60BB" w:rsidRDefault="009A4F71">
            <w:pPr>
              <w:rPr>
                <w:i/>
              </w:rPr>
            </w:pPr>
            <w:r>
              <w:rPr>
                <w:i/>
              </w:rPr>
              <w:t>1,5 h</w:t>
            </w:r>
          </w:p>
        </w:tc>
      </w:tr>
      <w:tr w:rsidR="00FD60BB" w:rsidRPr="008D21FC" w14:paraId="2C212ECD" w14:textId="77777777">
        <w:tc>
          <w:tcPr>
            <w:tcW w:w="1837" w:type="dxa"/>
            <w:shd w:val="clear" w:color="auto" w:fill="D9D9D9"/>
          </w:tcPr>
          <w:p w14:paraId="3A2DC9AD" w14:textId="77777777" w:rsidR="00FD60BB" w:rsidRDefault="009A4F71">
            <w:pPr>
              <w:rPr>
                <w:b/>
                <w:sz w:val="20"/>
                <w:szCs w:val="20"/>
              </w:rPr>
            </w:pPr>
            <w:r>
              <w:rPr>
                <w:b/>
                <w:sz w:val="20"/>
                <w:szCs w:val="20"/>
              </w:rPr>
              <w:t>MODE</w:t>
            </w:r>
          </w:p>
        </w:tc>
        <w:tc>
          <w:tcPr>
            <w:tcW w:w="7225" w:type="dxa"/>
          </w:tcPr>
          <w:p w14:paraId="099ECCBD" w14:textId="77777777" w:rsidR="00FD60BB" w:rsidRPr="008D21FC" w:rsidRDefault="009A4F71">
            <w:pPr>
              <w:rPr>
                <w:i/>
                <w:lang w:val="en-US"/>
              </w:rPr>
            </w:pPr>
            <w:r w:rsidRPr="008D21FC">
              <w:rPr>
                <w:rFonts w:ascii="Roboto" w:eastAsia="Roboto" w:hAnsi="Roboto" w:cs="Roboto"/>
                <w:i/>
                <w:color w:val="3C4043"/>
                <w:sz w:val="21"/>
                <w:szCs w:val="21"/>
                <w:highlight w:val="white"/>
                <w:lang w:val="en-US"/>
              </w:rPr>
              <w:t xml:space="preserve">Physical (face-to-face in class sessions), Online or Hybrid </w:t>
            </w:r>
          </w:p>
        </w:tc>
      </w:tr>
      <w:tr w:rsidR="00FD60BB" w:rsidRPr="008D21FC" w14:paraId="09B8308E" w14:textId="77777777">
        <w:tc>
          <w:tcPr>
            <w:tcW w:w="1837" w:type="dxa"/>
            <w:shd w:val="clear" w:color="auto" w:fill="D9D9D9"/>
          </w:tcPr>
          <w:p w14:paraId="100D3489" w14:textId="77777777" w:rsidR="00FD60BB" w:rsidRDefault="009A4F71">
            <w:pPr>
              <w:rPr>
                <w:b/>
                <w:sz w:val="20"/>
                <w:szCs w:val="20"/>
              </w:rPr>
            </w:pPr>
            <w:r>
              <w:rPr>
                <w:b/>
                <w:sz w:val="20"/>
                <w:szCs w:val="20"/>
              </w:rPr>
              <w:t>KEYWORDS</w:t>
            </w:r>
          </w:p>
        </w:tc>
        <w:tc>
          <w:tcPr>
            <w:tcW w:w="7225" w:type="dxa"/>
          </w:tcPr>
          <w:p w14:paraId="65A518E0" w14:textId="144AD4FE" w:rsidR="00FD60BB" w:rsidRPr="006F28E5" w:rsidRDefault="006F28E5" w:rsidP="006F28E5">
            <w:pPr>
              <w:pStyle w:val="HTMLVorformatiert"/>
              <w:shd w:val="clear" w:color="auto" w:fill="F8F9FA"/>
              <w:rPr>
                <w:rFonts w:asciiTheme="minorHAnsi" w:hAnsiTheme="minorHAnsi" w:cstheme="minorHAnsi"/>
                <w:i/>
                <w:iCs/>
                <w:color w:val="202124"/>
                <w:sz w:val="22"/>
                <w:szCs w:val="22"/>
              </w:rPr>
            </w:pPr>
            <w:r w:rsidRPr="006F28E5">
              <w:rPr>
                <w:rStyle w:val="y2iqfc"/>
                <w:rFonts w:asciiTheme="minorHAnsi" w:hAnsiTheme="minorHAnsi" w:cstheme="minorHAnsi"/>
                <w:i/>
                <w:iCs/>
                <w:color w:val="202124"/>
                <w:sz w:val="22"/>
                <w:szCs w:val="22"/>
                <w:lang w:val="de-DE"/>
              </w:rPr>
              <w:t>Geschlechtergleichstellung im EU-Recht, Gewalt gegen Frauen, sexuelle Belästigung, Rechtsmittel gegen Diskriminierung sowie Formen von Gewalt und Belästigung</w:t>
            </w:r>
          </w:p>
        </w:tc>
      </w:tr>
    </w:tbl>
    <w:p w14:paraId="7A2B6FA1" w14:textId="77777777" w:rsidR="00FD60BB" w:rsidRPr="008D21FC" w:rsidRDefault="00FD60BB">
      <w:pPr>
        <w:rPr>
          <w:b/>
          <w:sz w:val="20"/>
          <w:szCs w:val="20"/>
          <w:lang w:val="de-AT"/>
        </w:rPr>
      </w:pPr>
    </w:p>
    <w:p w14:paraId="6F666E98" w14:textId="77777777" w:rsidR="00FD60BB" w:rsidRDefault="009A4F71">
      <w:pPr>
        <w:rPr>
          <w:b/>
          <w:sz w:val="20"/>
          <w:szCs w:val="20"/>
        </w:rPr>
      </w:pPr>
      <w:r>
        <w:rPr>
          <w:b/>
          <w:sz w:val="20"/>
          <w:szCs w:val="20"/>
        </w:rPr>
        <w:t>PART 2. OF SCENARIO</w:t>
      </w:r>
    </w:p>
    <w:tbl>
      <w:tblPr>
        <w:tblStyle w:val="2"/>
        <w:tblW w:w="91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7"/>
        <w:gridCol w:w="7144"/>
      </w:tblGrid>
      <w:tr w:rsidR="00FD60BB" w:rsidRPr="008D21FC" w14:paraId="1E422D8C" w14:textId="77777777">
        <w:trPr>
          <w:trHeight w:val="915"/>
        </w:trPr>
        <w:tc>
          <w:tcPr>
            <w:tcW w:w="1997" w:type="dxa"/>
            <w:shd w:val="clear" w:color="auto" w:fill="D9D9D9"/>
            <w:vAlign w:val="center"/>
          </w:tcPr>
          <w:p w14:paraId="47ADA7D7" w14:textId="77777777" w:rsidR="00FD60BB" w:rsidRPr="008D21FC" w:rsidRDefault="009A4F71">
            <w:pPr>
              <w:rPr>
                <w:b/>
                <w:sz w:val="20"/>
                <w:szCs w:val="20"/>
                <w:lang w:val="en-US"/>
              </w:rPr>
            </w:pPr>
            <w:r w:rsidRPr="008D21FC">
              <w:rPr>
                <w:b/>
                <w:sz w:val="20"/>
                <w:szCs w:val="20"/>
                <w:lang w:val="en-US"/>
              </w:rPr>
              <w:t>THE AIM OF THE CLASSES</w:t>
            </w:r>
          </w:p>
        </w:tc>
        <w:tc>
          <w:tcPr>
            <w:tcW w:w="7144" w:type="dxa"/>
            <w:shd w:val="clear" w:color="auto" w:fill="D9D9D9"/>
            <w:vAlign w:val="center"/>
          </w:tcPr>
          <w:p w14:paraId="64CE0DD9" w14:textId="6581C185" w:rsidR="006F28E5" w:rsidRPr="008D21FC" w:rsidRDefault="006F28E5" w:rsidP="004B213F">
            <w:pPr>
              <w:rPr>
                <w:i/>
                <w:iCs/>
                <w:lang w:val="de-AT"/>
              </w:rPr>
            </w:pPr>
            <w:r w:rsidRPr="008D21FC">
              <w:rPr>
                <w:i/>
                <w:iCs/>
                <w:lang w:val="de-AT"/>
              </w:rPr>
              <w:t xml:space="preserve">Ziel des Kurses ist es, den Studierenden ein fundiertes Wissen und Verständnis der im EU-Recht und im nationalen Recht des jeweiligen Staates bestehenden rechtlichen Verpflichtungen zu vermitteln, die die Gleichstellung der Geschlechter im Allgemeinen und am Arbeitsplatz regeln. Ein besonderer Schwerpunkt liegt auf der Gleichstellung der Geschlechter in der </w:t>
            </w:r>
            <w:r w:rsidRPr="008D21FC">
              <w:rPr>
                <w:i/>
                <w:iCs/>
                <w:lang w:val="de-AT"/>
              </w:rPr>
              <w:lastRenderedPageBreak/>
              <w:t>Wissenschaft. Ein weiterer Schwerpunkt liegt</w:t>
            </w:r>
            <w:r w:rsidR="004B213F" w:rsidRPr="008D21FC">
              <w:rPr>
                <w:i/>
                <w:iCs/>
                <w:lang w:val="de-AT"/>
              </w:rPr>
              <w:t xml:space="preserve"> darin</w:t>
            </w:r>
            <w:r w:rsidRPr="008D21FC">
              <w:rPr>
                <w:i/>
                <w:iCs/>
                <w:lang w:val="de-AT"/>
              </w:rPr>
              <w:t xml:space="preserve">, </w:t>
            </w:r>
            <w:r w:rsidR="004B213F" w:rsidRPr="008D21FC">
              <w:rPr>
                <w:i/>
                <w:iCs/>
                <w:lang w:val="de-AT"/>
              </w:rPr>
              <w:t xml:space="preserve">die rechtlichen Regelungen darzustellen, die die Beseitigung und Bekämpfung </w:t>
            </w:r>
            <w:r w:rsidRPr="008D21FC">
              <w:rPr>
                <w:i/>
                <w:iCs/>
                <w:lang w:val="de-AT"/>
              </w:rPr>
              <w:t>geschlechtsspezifische</w:t>
            </w:r>
            <w:r w:rsidR="004B213F" w:rsidRPr="008D21FC">
              <w:rPr>
                <w:i/>
                <w:iCs/>
                <w:lang w:val="de-AT"/>
              </w:rPr>
              <w:t>r</w:t>
            </w:r>
            <w:r w:rsidRPr="008D21FC">
              <w:rPr>
                <w:i/>
                <w:iCs/>
                <w:lang w:val="de-AT"/>
              </w:rPr>
              <w:t xml:space="preserve"> Gewalt und sexuelle</w:t>
            </w:r>
            <w:r w:rsidR="004B213F" w:rsidRPr="008D21FC">
              <w:rPr>
                <w:i/>
                <w:iCs/>
                <w:lang w:val="de-AT"/>
              </w:rPr>
              <w:t>r</w:t>
            </w:r>
            <w:r w:rsidRPr="008D21FC">
              <w:rPr>
                <w:i/>
                <w:iCs/>
                <w:lang w:val="de-AT"/>
              </w:rPr>
              <w:t xml:space="preserve"> Belästigung </w:t>
            </w:r>
            <w:r w:rsidR="004B213F" w:rsidRPr="008D21FC">
              <w:rPr>
                <w:i/>
                <w:iCs/>
                <w:lang w:val="de-AT"/>
              </w:rPr>
              <w:t xml:space="preserve">regeln. Auf die </w:t>
            </w:r>
            <w:r w:rsidRPr="008D21FC">
              <w:rPr>
                <w:i/>
                <w:iCs/>
                <w:lang w:val="de-AT"/>
              </w:rPr>
              <w:t>Mitgliedschaft der EU in der Istanbul-Konvention</w:t>
            </w:r>
            <w:r w:rsidR="004B213F" w:rsidRPr="008D21FC">
              <w:rPr>
                <w:i/>
                <w:iCs/>
                <w:lang w:val="de-AT"/>
              </w:rPr>
              <w:t xml:space="preserve"> wird ebenfalls eingegangen.</w:t>
            </w:r>
          </w:p>
          <w:p w14:paraId="4FF630B2" w14:textId="77777777" w:rsidR="006F28E5" w:rsidRPr="008D21FC" w:rsidRDefault="006F28E5" w:rsidP="006F28E5">
            <w:pPr>
              <w:rPr>
                <w:i/>
                <w:iCs/>
                <w:lang w:val="de-AT"/>
              </w:rPr>
            </w:pPr>
          </w:p>
          <w:p w14:paraId="32B707F6" w14:textId="46A76108" w:rsidR="006F28E5" w:rsidRPr="008D21FC" w:rsidRDefault="006F28E5" w:rsidP="006F28E5">
            <w:pPr>
              <w:rPr>
                <w:i/>
                <w:iCs/>
                <w:lang w:val="de-AT"/>
              </w:rPr>
            </w:pPr>
            <w:r w:rsidRPr="008D21FC">
              <w:rPr>
                <w:i/>
                <w:iCs/>
                <w:lang w:val="de-AT"/>
              </w:rPr>
              <w:t xml:space="preserve">Ziel der Veranstaltung ist es, alle bestehenden rechtlichen Verpflichtungen im </w:t>
            </w:r>
            <w:r w:rsidR="004B213F" w:rsidRPr="008D21FC">
              <w:rPr>
                <w:i/>
                <w:iCs/>
                <w:lang w:val="de-AT"/>
              </w:rPr>
              <w:t xml:space="preserve">Unionsrecht </w:t>
            </w:r>
            <w:r w:rsidRPr="008D21FC">
              <w:rPr>
                <w:i/>
                <w:iCs/>
                <w:lang w:val="de-AT"/>
              </w:rPr>
              <w:t>und deren Umsetzung zu analysieren und sich auf Optionen zur Stärkung der Geschlechtergleichstellung am Arbeitsplatz und insbesondere in akademischen Szenarien zu konzentrieren.</w:t>
            </w:r>
          </w:p>
          <w:p w14:paraId="32B94667" w14:textId="77777777" w:rsidR="006F28E5" w:rsidRPr="008D21FC" w:rsidRDefault="006F28E5" w:rsidP="006F28E5">
            <w:pPr>
              <w:rPr>
                <w:i/>
                <w:iCs/>
                <w:lang w:val="de-AT"/>
              </w:rPr>
            </w:pPr>
            <w:r w:rsidRPr="008D21FC">
              <w:rPr>
                <w:i/>
                <w:iCs/>
                <w:lang w:val="de-AT"/>
              </w:rPr>
              <w:t>Ein weiteres Ziel besteht darin, Studierende auf bestehende Förderprogramme aufmerksam zu machen, um den Anteil von Akademikerinnen in höheren Positionen zu erhöhen und die notwendigen akademischen Qualifikationen zu erwerben.</w:t>
            </w:r>
          </w:p>
          <w:p w14:paraId="60FE7E5A" w14:textId="464634F9" w:rsidR="00FD60BB" w:rsidRPr="008D21FC" w:rsidRDefault="00FD60BB" w:rsidP="006F28E5">
            <w:pPr>
              <w:rPr>
                <w:i/>
                <w:iCs/>
                <w:lang w:val="de-AT"/>
              </w:rPr>
            </w:pPr>
          </w:p>
        </w:tc>
      </w:tr>
      <w:tr w:rsidR="00FD60BB" w:rsidRPr="008D21FC" w14:paraId="7C07B24E" w14:textId="77777777">
        <w:trPr>
          <w:trHeight w:val="985"/>
        </w:trPr>
        <w:tc>
          <w:tcPr>
            <w:tcW w:w="1997" w:type="dxa"/>
            <w:shd w:val="clear" w:color="auto" w:fill="D9D9D9"/>
            <w:vAlign w:val="center"/>
          </w:tcPr>
          <w:p w14:paraId="6BDA0815" w14:textId="77777777" w:rsidR="00FD60BB" w:rsidRDefault="009A4F71">
            <w:pPr>
              <w:rPr>
                <w:b/>
                <w:sz w:val="20"/>
                <w:szCs w:val="20"/>
              </w:rPr>
            </w:pPr>
            <w:r>
              <w:rPr>
                <w:b/>
                <w:sz w:val="20"/>
                <w:szCs w:val="20"/>
              </w:rPr>
              <w:lastRenderedPageBreak/>
              <w:t>LEARNING OUTCOMES</w:t>
            </w:r>
          </w:p>
        </w:tc>
        <w:tc>
          <w:tcPr>
            <w:tcW w:w="7144" w:type="dxa"/>
            <w:shd w:val="clear" w:color="auto" w:fill="D9D9D9"/>
            <w:vAlign w:val="center"/>
          </w:tcPr>
          <w:p w14:paraId="71BF6D2C" w14:textId="77777777" w:rsidR="004B213F" w:rsidRPr="008D21FC" w:rsidRDefault="004B213F" w:rsidP="004B213F">
            <w:pPr>
              <w:rPr>
                <w:i/>
                <w:iCs/>
                <w:lang w:val="de-AT"/>
              </w:rPr>
            </w:pPr>
            <w:r w:rsidRPr="008D21FC">
              <w:rPr>
                <w:i/>
                <w:iCs/>
                <w:lang w:val="de-AT"/>
              </w:rPr>
              <w:t>Am Ende sind die Studierenden mit den bestehenden rechtlichen Rahmenbedingungen vertraut. Die Studierenden verfügen über fundierte Kenntnisse im Gleichstellungsrecht und dessen Anwendung in der Praxis.</w:t>
            </w:r>
          </w:p>
          <w:p w14:paraId="57CC3156" w14:textId="77777777" w:rsidR="004B213F" w:rsidRPr="008D21FC" w:rsidRDefault="004B213F" w:rsidP="004B213F">
            <w:pPr>
              <w:rPr>
                <w:i/>
                <w:iCs/>
                <w:lang w:val="de-AT"/>
              </w:rPr>
            </w:pPr>
          </w:p>
          <w:p w14:paraId="4F8D8FED" w14:textId="77777777" w:rsidR="004B213F" w:rsidRPr="008D21FC" w:rsidRDefault="004B213F" w:rsidP="004B213F">
            <w:pPr>
              <w:rPr>
                <w:i/>
                <w:iCs/>
                <w:lang w:val="de-AT"/>
              </w:rPr>
            </w:pPr>
            <w:r w:rsidRPr="008D21FC">
              <w:rPr>
                <w:i/>
                <w:iCs/>
                <w:lang w:val="de-AT"/>
              </w:rPr>
              <w:t>Die Studierenden sind in der Lage, Rechtsberatung in Fragen der Geschlechtergleichstellung zu leisten.</w:t>
            </w:r>
          </w:p>
          <w:p w14:paraId="7158F04D" w14:textId="3BA1A026" w:rsidR="00FD60BB" w:rsidRPr="008D21FC" w:rsidRDefault="009A4F71" w:rsidP="004B213F">
            <w:pPr>
              <w:rPr>
                <w:i/>
                <w:iCs/>
                <w:highlight w:val="yellow"/>
                <w:lang w:val="de-AT"/>
              </w:rPr>
            </w:pPr>
            <w:r w:rsidRPr="008D21FC">
              <w:rPr>
                <w:i/>
                <w:iCs/>
                <w:lang w:val="de-AT"/>
              </w:rPr>
              <w:t xml:space="preserve"> </w:t>
            </w:r>
          </w:p>
        </w:tc>
      </w:tr>
      <w:tr w:rsidR="00FD60BB" w:rsidRPr="008D21FC" w14:paraId="5D20D4D7" w14:textId="77777777">
        <w:trPr>
          <w:trHeight w:val="700"/>
        </w:trPr>
        <w:tc>
          <w:tcPr>
            <w:tcW w:w="1997" w:type="dxa"/>
            <w:shd w:val="clear" w:color="auto" w:fill="D9D9D9"/>
            <w:vAlign w:val="center"/>
          </w:tcPr>
          <w:p w14:paraId="4E504FBF" w14:textId="77777777" w:rsidR="00FD60BB" w:rsidRDefault="009A4F71">
            <w:pPr>
              <w:rPr>
                <w:b/>
                <w:sz w:val="20"/>
                <w:szCs w:val="20"/>
              </w:rPr>
            </w:pPr>
            <w:r>
              <w:rPr>
                <w:b/>
                <w:sz w:val="20"/>
                <w:szCs w:val="20"/>
              </w:rPr>
              <w:t xml:space="preserve">SUGGESTED TOOLS </w:t>
            </w:r>
          </w:p>
        </w:tc>
        <w:tc>
          <w:tcPr>
            <w:tcW w:w="7144" w:type="dxa"/>
            <w:vAlign w:val="center"/>
          </w:tcPr>
          <w:p w14:paraId="62B32185" w14:textId="73A9F712" w:rsidR="004B213F" w:rsidRPr="008D21FC" w:rsidRDefault="004B213F" w:rsidP="004B213F">
            <w:pPr>
              <w:rPr>
                <w:i/>
                <w:iCs/>
                <w:lang w:val="de-AT"/>
              </w:rPr>
            </w:pPr>
            <w:r w:rsidRPr="008D21FC">
              <w:rPr>
                <w:i/>
                <w:iCs/>
                <w:lang w:val="de-AT"/>
              </w:rPr>
              <w:t>Die Studierenden lesen und analysieren juristische Texte, studieren die Rechtsprechung und analysieren die praktische Anwendung und Umsetzung von Rechtsakten. Das EU-Gleichstellungsrecht ist ein umfassendes Thema. Die Studierenden werden darauf vorbereitet, rechtliche Probleme schnell zu erkennen und die relevanten Quellen zu finden.</w:t>
            </w:r>
          </w:p>
          <w:p w14:paraId="7A104480" w14:textId="0CE42974" w:rsidR="006D3730" w:rsidRPr="004B213F" w:rsidRDefault="006D3730" w:rsidP="004B213F">
            <w:pPr>
              <w:rPr>
                <w:i/>
                <w:iCs/>
                <w:lang w:val="de-AT"/>
              </w:rPr>
            </w:pPr>
          </w:p>
        </w:tc>
      </w:tr>
      <w:tr w:rsidR="00FD60BB" w:rsidRPr="008D21FC" w14:paraId="1DB12763" w14:textId="77777777">
        <w:trPr>
          <w:trHeight w:val="700"/>
        </w:trPr>
        <w:tc>
          <w:tcPr>
            <w:tcW w:w="1997" w:type="dxa"/>
            <w:shd w:val="clear" w:color="auto" w:fill="D9D9D9"/>
            <w:vAlign w:val="center"/>
          </w:tcPr>
          <w:p w14:paraId="4F921D23" w14:textId="77777777" w:rsidR="00FD60BB" w:rsidRDefault="009A4F71">
            <w:pPr>
              <w:rPr>
                <w:b/>
                <w:sz w:val="20"/>
                <w:szCs w:val="20"/>
              </w:rPr>
            </w:pPr>
            <w:r>
              <w:rPr>
                <w:b/>
                <w:sz w:val="20"/>
                <w:szCs w:val="20"/>
              </w:rPr>
              <w:t>TIPS / METHODOLOGICAL REMARKS</w:t>
            </w:r>
          </w:p>
        </w:tc>
        <w:tc>
          <w:tcPr>
            <w:tcW w:w="7144" w:type="dxa"/>
            <w:vAlign w:val="center"/>
          </w:tcPr>
          <w:p w14:paraId="030D23C6" w14:textId="77777777" w:rsidR="004B213F" w:rsidRPr="008D21FC" w:rsidRDefault="004B213F" w:rsidP="004B213F">
            <w:pPr>
              <w:rPr>
                <w:i/>
                <w:iCs/>
                <w:lang w:val="de-AT"/>
              </w:rPr>
            </w:pPr>
            <w:r w:rsidRPr="008D21FC">
              <w:rPr>
                <w:i/>
                <w:iCs/>
                <w:lang w:val="de-AT"/>
              </w:rPr>
              <w:t>Analyse rechtlicher Verpflichtungen, praktische Umsetzung, Rechtsbehelfe, Soft-Law-Instrumente</w:t>
            </w:r>
          </w:p>
          <w:p w14:paraId="3374AA2C" w14:textId="2E949499" w:rsidR="00FD60BB" w:rsidRPr="004B213F" w:rsidRDefault="00FD60BB">
            <w:pPr>
              <w:rPr>
                <w:lang w:val="de-AT"/>
              </w:rPr>
            </w:pPr>
          </w:p>
        </w:tc>
      </w:tr>
      <w:tr w:rsidR="00FD60BB" w14:paraId="528D1510" w14:textId="77777777">
        <w:trPr>
          <w:trHeight w:val="700"/>
        </w:trPr>
        <w:tc>
          <w:tcPr>
            <w:tcW w:w="1997" w:type="dxa"/>
            <w:shd w:val="clear" w:color="auto" w:fill="D9D9D9"/>
            <w:vAlign w:val="center"/>
          </w:tcPr>
          <w:p w14:paraId="3040CCCB" w14:textId="77777777" w:rsidR="00FD60BB" w:rsidRDefault="009A4F71">
            <w:pPr>
              <w:rPr>
                <w:b/>
                <w:sz w:val="20"/>
                <w:szCs w:val="20"/>
              </w:rPr>
            </w:pPr>
            <w:r>
              <w:rPr>
                <w:b/>
                <w:sz w:val="20"/>
                <w:szCs w:val="20"/>
              </w:rPr>
              <w:t>RISKS</w:t>
            </w:r>
          </w:p>
        </w:tc>
        <w:tc>
          <w:tcPr>
            <w:tcW w:w="7144" w:type="dxa"/>
            <w:vAlign w:val="center"/>
          </w:tcPr>
          <w:p w14:paraId="40FD5AB1" w14:textId="0D2EBF60" w:rsidR="00FD60BB" w:rsidRPr="004B213F" w:rsidRDefault="004B213F">
            <w:pPr>
              <w:rPr>
                <w:i/>
                <w:iCs/>
              </w:rPr>
            </w:pPr>
            <w:r w:rsidRPr="004B213F">
              <w:rPr>
                <w:i/>
                <w:iCs/>
              </w:rPr>
              <w:t>Keine Risiken</w:t>
            </w:r>
          </w:p>
        </w:tc>
      </w:tr>
    </w:tbl>
    <w:p w14:paraId="096DDBB6" w14:textId="77777777" w:rsidR="00FD60BB" w:rsidRDefault="00FD60BB"/>
    <w:p w14:paraId="569280E0" w14:textId="77777777" w:rsidR="00FD60BB" w:rsidRDefault="009A4F71">
      <w:pPr>
        <w:rPr>
          <w:b/>
          <w:sz w:val="20"/>
          <w:szCs w:val="20"/>
        </w:rPr>
      </w:pPr>
      <w:r>
        <w:rPr>
          <w:b/>
          <w:sz w:val="20"/>
          <w:szCs w:val="20"/>
        </w:rPr>
        <w:t>PART 3. OF SCENARIO</w:t>
      </w:r>
    </w:p>
    <w:tbl>
      <w:tblPr>
        <w:tblStyle w:val="1"/>
        <w:tblW w:w="91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3"/>
        <w:gridCol w:w="1969"/>
        <w:gridCol w:w="5319"/>
      </w:tblGrid>
      <w:tr w:rsidR="00FD60BB" w:rsidRPr="008D21FC" w14:paraId="635461AF" w14:textId="77777777">
        <w:trPr>
          <w:trHeight w:val="700"/>
        </w:trPr>
        <w:tc>
          <w:tcPr>
            <w:tcW w:w="1853" w:type="dxa"/>
            <w:shd w:val="clear" w:color="auto" w:fill="D9D9D9"/>
            <w:vAlign w:val="center"/>
          </w:tcPr>
          <w:p w14:paraId="4D66EE36" w14:textId="77777777" w:rsidR="00FD60BB" w:rsidRDefault="009A4F71">
            <w:pPr>
              <w:rPr>
                <w:b/>
                <w:sz w:val="20"/>
                <w:szCs w:val="20"/>
              </w:rPr>
            </w:pPr>
            <w:r>
              <w:rPr>
                <w:b/>
                <w:sz w:val="20"/>
                <w:szCs w:val="20"/>
              </w:rPr>
              <w:t>LEARNING CONTENT - CHARACTERISTICS</w:t>
            </w:r>
          </w:p>
        </w:tc>
        <w:tc>
          <w:tcPr>
            <w:tcW w:w="7288" w:type="dxa"/>
            <w:gridSpan w:val="2"/>
            <w:vAlign w:val="center"/>
          </w:tcPr>
          <w:p w14:paraId="0A580E7C" w14:textId="77777777" w:rsidR="006D3730" w:rsidRPr="008D21FC" w:rsidRDefault="00A23A87" w:rsidP="00A23A87">
            <w:pPr>
              <w:pBdr>
                <w:top w:val="nil"/>
                <w:left w:val="nil"/>
                <w:bottom w:val="nil"/>
                <w:right w:val="nil"/>
                <w:between w:val="nil"/>
              </w:pBdr>
              <w:rPr>
                <w:i/>
                <w:iCs/>
                <w:color w:val="000000"/>
                <w:lang w:val="en-US"/>
              </w:rPr>
            </w:pPr>
            <w:r w:rsidRPr="008D21FC">
              <w:rPr>
                <w:i/>
                <w:iCs/>
                <w:color w:val="000000"/>
                <w:lang w:val="en-US"/>
              </w:rPr>
              <w:t xml:space="preserve">The learning content comprises slides with an introduction into the legal obligations and their content relating to gender equality and violence against women, prevention of violence, </w:t>
            </w:r>
            <w:proofErr w:type="gramStart"/>
            <w:r w:rsidRPr="008D21FC">
              <w:rPr>
                <w:i/>
                <w:iCs/>
                <w:color w:val="000000"/>
                <w:lang w:val="en-US"/>
              </w:rPr>
              <w:t>remedies</w:t>
            </w:r>
            <w:proofErr w:type="gramEnd"/>
            <w:r w:rsidRPr="008D21FC">
              <w:rPr>
                <w:i/>
                <w:iCs/>
                <w:color w:val="000000"/>
                <w:lang w:val="en-US"/>
              </w:rPr>
              <w:t xml:space="preserve"> and reparations. </w:t>
            </w:r>
          </w:p>
          <w:p w14:paraId="2BC701F3" w14:textId="77777777" w:rsidR="006D3730" w:rsidRPr="008D21FC" w:rsidRDefault="006D3730" w:rsidP="00A23A87">
            <w:pPr>
              <w:pBdr>
                <w:top w:val="nil"/>
                <w:left w:val="nil"/>
                <w:bottom w:val="nil"/>
                <w:right w:val="nil"/>
                <w:between w:val="nil"/>
              </w:pBdr>
              <w:rPr>
                <w:i/>
                <w:iCs/>
                <w:color w:val="000000"/>
                <w:lang w:val="en-US"/>
              </w:rPr>
            </w:pPr>
          </w:p>
          <w:p w14:paraId="00CD697C" w14:textId="6F305202" w:rsidR="00FD60BB" w:rsidRPr="008D21FC" w:rsidRDefault="00A23A87" w:rsidP="00A23A87">
            <w:pPr>
              <w:pBdr>
                <w:top w:val="nil"/>
                <w:left w:val="nil"/>
                <w:bottom w:val="nil"/>
                <w:right w:val="nil"/>
                <w:between w:val="nil"/>
              </w:pBdr>
              <w:rPr>
                <w:i/>
                <w:iCs/>
                <w:color w:val="000000"/>
                <w:lang w:val="en-US"/>
              </w:rPr>
            </w:pPr>
            <w:r w:rsidRPr="008D21FC">
              <w:rPr>
                <w:i/>
                <w:iCs/>
                <w:color w:val="000000"/>
                <w:lang w:val="en-US"/>
              </w:rPr>
              <w:t xml:space="preserve">Legal texts, abstracts from cases and materials as an additional reader complement the teaching materials. </w:t>
            </w:r>
          </w:p>
        </w:tc>
      </w:tr>
      <w:tr w:rsidR="00FD60BB" w:rsidRPr="008D21FC" w14:paraId="42745B65" w14:textId="77777777">
        <w:trPr>
          <w:trHeight w:val="700"/>
        </w:trPr>
        <w:tc>
          <w:tcPr>
            <w:tcW w:w="1853" w:type="dxa"/>
            <w:shd w:val="clear" w:color="auto" w:fill="D9D9D9"/>
            <w:vAlign w:val="center"/>
          </w:tcPr>
          <w:p w14:paraId="373453C9" w14:textId="77777777" w:rsidR="00FD60BB" w:rsidRDefault="009A4F71">
            <w:pPr>
              <w:rPr>
                <w:b/>
                <w:sz w:val="20"/>
                <w:szCs w:val="20"/>
              </w:rPr>
            </w:pPr>
            <w:r>
              <w:rPr>
                <w:b/>
                <w:sz w:val="20"/>
                <w:szCs w:val="20"/>
              </w:rPr>
              <w:t>BASICTERMS</w:t>
            </w:r>
          </w:p>
        </w:tc>
        <w:tc>
          <w:tcPr>
            <w:tcW w:w="7288" w:type="dxa"/>
            <w:gridSpan w:val="2"/>
            <w:vAlign w:val="center"/>
          </w:tcPr>
          <w:p w14:paraId="73DC86EE" w14:textId="2EA47419" w:rsidR="008D21FC" w:rsidRPr="008D21FC" w:rsidRDefault="008D21FC" w:rsidP="008D21FC">
            <w:pPr>
              <w:pStyle w:val="HTMLVorformatiert"/>
              <w:shd w:val="clear" w:color="auto" w:fill="F8F9FA"/>
              <w:rPr>
                <w:rFonts w:asciiTheme="minorHAnsi" w:hAnsiTheme="minorHAnsi" w:cstheme="minorHAnsi"/>
                <w:i/>
                <w:iCs/>
                <w:color w:val="202124"/>
                <w:sz w:val="22"/>
                <w:szCs w:val="22"/>
              </w:rPr>
            </w:pPr>
            <w:r w:rsidRPr="008D21FC">
              <w:rPr>
                <w:rStyle w:val="y2iqfc"/>
                <w:rFonts w:asciiTheme="minorHAnsi" w:hAnsiTheme="minorHAnsi" w:cstheme="minorHAnsi"/>
                <w:i/>
                <w:iCs/>
                <w:color w:val="202124"/>
                <w:sz w:val="22"/>
                <w:szCs w:val="22"/>
                <w:lang w:val="de-DE"/>
              </w:rPr>
              <w:t>Geschlechtergleichstellung, Nichtdiskriminierung, Menschenrechts</w:t>
            </w:r>
            <w:r>
              <w:rPr>
                <w:rStyle w:val="y2iqfc"/>
                <w:rFonts w:asciiTheme="minorHAnsi" w:hAnsiTheme="minorHAnsi" w:cstheme="minorHAnsi"/>
                <w:i/>
                <w:iCs/>
                <w:color w:val="202124"/>
                <w:sz w:val="22"/>
                <w:szCs w:val="22"/>
                <w:lang w:val="de-DE"/>
              </w:rPr>
              <w:t>verpflichtungen</w:t>
            </w:r>
            <w:r w:rsidRPr="008D21FC">
              <w:rPr>
                <w:rStyle w:val="y2iqfc"/>
                <w:rFonts w:asciiTheme="minorHAnsi" w:hAnsiTheme="minorHAnsi" w:cstheme="minorHAnsi"/>
                <w:i/>
                <w:iCs/>
                <w:color w:val="202124"/>
                <w:sz w:val="22"/>
                <w:szCs w:val="22"/>
                <w:lang w:val="de-DE"/>
              </w:rPr>
              <w:t xml:space="preserve"> und EU-Rechtsakte zum Schutz von Frauen</w:t>
            </w:r>
          </w:p>
          <w:p w14:paraId="6D7F29D2" w14:textId="4A561017" w:rsidR="00FD60BB" w:rsidRPr="008D21FC" w:rsidRDefault="00FD60BB" w:rsidP="008D21FC">
            <w:pPr>
              <w:rPr>
                <w:rFonts w:asciiTheme="minorHAnsi" w:hAnsiTheme="minorHAnsi" w:cstheme="minorHAnsi"/>
                <w:i/>
                <w:iCs/>
                <w:lang w:val="de-AT"/>
              </w:rPr>
            </w:pPr>
          </w:p>
        </w:tc>
      </w:tr>
      <w:tr w:rsidR="00FD60BB" w:rsidRPr="008D21FC" w14:paraId="01BDC823" w14:textId="77777777">
        <w:trPr>
          <w:trHeight w:val="171"/>
        </w:trPr>
        <w:tc>
          <w:tcPr>
            <w:tcW w:w="1853" w:type="dxa"/>
            <w:vMerge w:val="restart"/>
            <w:shd w:val="clear" w:color="auto" w:fill="D9D9D9"/>
            <w:vAlign w:val="center"/>
          </w:tcPr>
          <w:p w14:paraId="04E30025" w14:textId="77777777" w:rsidR="00FD60BB" w:rsidRDefault="009A4F71">
            <w:pPr>
              <w:rPr>
                <w:b/>
              </w:rPr>
            </w:pPr>
            <w:r>
              <w:rPr>
                <w:b/>
              </w:rPr>
              <w:t>COURSE OF THE CLASS</w:t>
            </w:r>
          </w:p>
          <w:p w14:paraId="138945BD" w14:textId="77777777" w:rsidR="00FD60BB" w:rsidRDefault="00FD60BB">
            <w:pPr>
              <w:rPr>
                <w:b/>
              </w:rPr>
            </w:pPr>
          </w:p>
        </w:tc>
        <w:tc>
          <w:tcPr>
            <w:tcW w:w="1969" w:type="dxa"/>
            <w:shd w:val="clear" w:color="auto" w:fill="D9D9D9"/>
            <w:vAlign w:val="center"/>
          </w:tcPr>
          <w:p w14:paraId="14452347" w14:textId="77777777" w:rsidR="00FD60BB" w:rsidRDefault="00FD60BB">
            <w:pPr>
              <w:rPr>
                <w:b/>
                <w:sz w:val="20"/>
                <w:szCs w:val="20"/>
              </w:rPr>
            </w:pPr>
          </w:p>
          <w:p w14:paraId="3B671670" w14:textId="77777777" w:rsidR="00FD60BB" w:rsidRDefault="009A4F71">
            <w:pPr>
              <w:rPr>
                <w:b/>
                <w:sz w:val="20"/>
                <w:szCs w:val="20"/>
              </w:rPr>
            </w:pPr>
            <w:r>
              <w:rPr>
                <w:b/>
                <w:sz w:val="20"/>
                <w:szCs w:val="20"/>
              </w:rPr>
              <w:t>STEP 1</w:t>
            </w:r>
          </w:p>
        </w:tc>
        <w:tc>
          <w:tcPr>
            <w:tcW w:w="5319" w:type="dxa"/>
            <w:vAlign w:val="center"/>
          </w:tcPr>
          <w:p w14:paraId="01E47111" w14:textId="77777777" w:rsidR="007621C4" w:rsidRPr="007621C4" w:rsidRDefault="007621C4" w:rsidP="007621C4">
            <w:pPr>
              <w:pStyle w:val="HTMLVorformatiert"/>
              <w:shd w:val="clear" w:color="auto" w:fill="F8F9FA"/>
              <w:rPr>
                <w:rFonts w:asciiTheme="minorHAnsi" w:hAnsiTheme="minorHAnsi" w:cstheme="minorHAnsi"/>
                <w:i/>
                <w:iCs/>
                <w:color w:val="202124"/>
                <w:sz w:val="22"/>
                <w:szCs w:val="22"/>
              </w:rPr>
            </w:pPr>
            <w:r w:rsidRPr="007621C4">
              <w:rPr>
                <w:rStyle w:val="y2iqfc"/>
                <w:rFonts w:asciiTheme="minorHAnsi" w:hAnsiTheme="minorHAnsi" w:cstheme="minorHAnsi"/>
                <w:i/>
                <w:iCs/>
                <w:color w:val="202124"/>
                <w:sz w:val="22"/>
                <w:szCs w:val="22"/>
                <w:lang w:val="de-DE"/>
              </w:rPr>
              <w:t>Rechtliche Verpflichtungen ausarbeiten, Bewusstsein und Wissen schärfen, Gesetzestexte interpretieren.</w:t>
            </w:r>
          </w:p>
          <w:p w14:paraId="7CD490A3" w14:textId="0CA29E6C" w:rsidR="006D3730" w:rsidRPr="007621C4" w:rsidRDefault="006D3730" w:rsidP="004B213F">
            <w:pPr>
              <w:rPr>
                <w:i/>
                <w:iCs/>
                <w:lang w:val="de-AT"/>
              </w:rPr>
            </w:pPr>
          </w:p>
        </w:tc>
      </w:tr>
      <w:tr w:rsidR="00FD60BB" w:rsidRPr="008D21FC" w14:paraId="77AAEFED" w14:textId="77777777">
        <w:trPr>
          <w:trHeight w:val="171"/>
        </w:trPr>
        <w:tc>
          <w:tcPr>
            <w:tcW w:w="1853" w:type="dxa"/>
            <w:vMerge/>
            <w:shd w:val="clear" w:color="auto" w:fill="D9D9D9"/>
            <w:vAlign w:val="center"/>
          </w:tcPr>
          <w:p w14:paraId="68B39132" w14:textId="77777777" w:rsidR="00FD60BB" w:rsidRPr="008D21FC" w:rsidRDefault="00FD60BB">
            <w:pPr>
              <w:widowControl w:val="0"/>
              <w:pBdr>
                <w:top w:val="nil"/>
                <w:left w:val="nil"/>
                <w:bottom w:val="nil"/>
                <w:right w:val="nil"/>
                <w:between w:val="nil"/>
              </w:pBdr>
              <w:spacing w:line="276" w:lineRule="auto"/>
              <w:rPr>
                <w:lang w:val="de-AT"/>
              </w:rPr>
            </w:pPr>
          </w:p>
        </w:tc>
        <w:tc>
          <w:tcPr>
            <w:tcW w:w="1969" w:type="dxa"/>
            <w:shd w:val="clear" w:color="auto" w:fill="D9D9D9"/>
            <w:vAlign w:val="center"/>
          </w:tcPr>
          <w:p w14:paraId="4BD62AFE" w14:textId="77777777" w:rsidR="00FD60BB" w:rsidRDefault="009A4F71">
            <w:pPr>
              <w:rPr>
                <w:b/>
                <w:sz w:val="20"/>
                <w:szCs w:val="20"/>
              </w:rPr>
            </w:pPr>
            <w:r>
              <w:rPr>
                <w:b/>
                <w:sz w:val="20"/>
                <w:szCs w:val="20"/>
              </w:rPr>
              <w:t>STEP 2</w:t>
            </w:r>
          </w:p>
        </w:tc>
        <w:tc>
          <w:tcPr>
            <w:tcW w:w="5319" w:type="dxa"/>
            <w:vAlign w:val="center"/>
          </w:tcPr>
          <w:p w14:paraId="01C5BCE8" w14:textId="11DE5BA2" w:rsidR="007621C4" w:rsidRPr="008D21FC" w:rsidRDefault="007621C4" w:rsidP="007621C4">
            <w:pPr>
              <w:rPr>
                <w:i/>
                <w:iCs/>
                <w:lang w:val="de-AT"/>
              </w:rPr>
            </w:pPr>
            <w:r w:rsidRPr="008D21FC">
              <w:rPr>
                <w:i/>
                <w:iCs/>
                <w:lang w:val="de-AT"/>
              </w:rPr>
              <w:t>Durchführen von Fallstudien, um ein fundiertes Bild über die Gleichstellung der Geschlechter auf der Ebene des Rechts der Europäischen Union und des Rechts im jeweiligen Staat zu erarbeiten.</w:t>
            </w:r>
          </w:p>
          <w:p w14:paraId="0C356687" w14:textId="77777777" w:rsidR="00FD60BB" w:rsidRPr="007621C4" w:rsidRDefault="00FD60BB" w:rsidP="007621C4">
            <w:pPr>
              <w:rPr>
                <w:lang w:val="de-AT"/>
              </w:rPr>
            </w:pPr>
          </w:p>
        </w:tc>
      </w:tr>
      <w:tr w:rsidR="00FD60BB" w:rsidRPr="008D21FC" w14:paraId="11428A4D" w14:textId="77777777">
        <w:trPr>
          <w:trHeight w:val="732"/>
        </w:trPr>
        <w:tc>
          <w:tcPr>
            <w:tcW w:w="1853" w:type="dxa"/>
            <w:vMerge/>
            <w:shd w:val="clear" w:color="auto" w:fill="D9D9D9"/>
            <w:vAlign w:val="center"/>
          </w:tcPr>
          <w:p w14:paraId="73C361B6" w14:textId="77777777" w:rsidR="00FD60BB" w:rsidRPr="008D21FC" w:rsidRDefault="00FD60BB">
            <w:pPr>
              <w:widowControl w:val="0"/>
              <w:pBdr>
                <w:top w:val="nil"/>
                <w:left w:val="nil"/>
                <w:bottom w:val="nil"/>
                <w:right w:val="nil"/>
                <w:between w:val="nil"/>
              </w:pBdr>
              <w:spacing w:line="276" w:lineRule="auto"/>
              <w:rPr>
                <w:color w:val="000000"/>
                <w:lang w:val="de-AT"/>
              </w:rPr>
            </w:pPr>
          </w:p>
        </w:tc>
        <w:tc>
          <w:tcPr>
            <w:tcW w:w="1969" w:type="dxa"/>
            <w:shd w:val="clear" w:color="auto" w:fill="D9D9D9"/>
            <w:vAlign w:val="center"/>
          </w:tcPr>
          <w:p w14:paraId="298884D2" w14:textId="77777777" w:rsidR="00FD60BB" w:rsidRDefault="009A4F71">
            <w:pPr>
              <w:rPr>
                <w:b/>
              </w:rPr>
            </w:pPr>
            <w:r>
              <w:rPr>
                <w:b/>
              </w:rPr>
              <w:t>STEP 3</w:t>
            </w:r>
          </w:p>
        </w:tc>
        <w:tc>
          <w:tcPr>
            <w:tcW w:w="5319" w:type="dxa"/>
            <w:vAlign w:val="center"/>
          </w:tcPr>
          <w:p w14:paraId="5BF0979D" w14:textId="77777777" w:rsidR="007621C4" w:rsidRPr="008D21FC" w:rsidRDefault="007621C4" w:rsidP="007621C4">
            <w:pPr>
              <w:rPr>
                <w:i/>
                <w:iCs/>
                <w:lang w:val="de-AT"/>
              </w:rPr>
            </w:pPr>
            <w:r w:rsidRPr="008D21FC">
              <w:rPr>
                <w:i/>
                <w:iCs/>
                <w:lang w:val="de-AT"/>
              </w:rPr>
              <w:t>Erarbeitung von Möglichkeiten zur Verbesserung der Geschlechtergleichstellung, Bewertung der Möglichkeiten zur Gewaltprävention, zum Schutz der Opfer und zur Bestrafung von Tätern.</w:t>
            </w:r>
          </w:p>
          <w:p w14:paraId="37F53F19" w14:textId="77777777" w:rsidR="007621C4" w:rsidRPr="008D21FC" w:rsidRDefault="007621C4" w:rsidP="007621C4">
            <w:pPr>
              <w:rPr>
                <w:i/>
                <w:iCs/>
                <w:lang w:val="de-AT"/>
              </w:rPr>
            </w:pPr>
          </w:p>
          <w:p w14:paraId="56826C7C" w14:textId="77777777" w:rsidR="007621C4" w:rsidRPr="008D21FC" w:rsidRDefault="007621C4" w:rsidP="007621C4">
            <w:pPr>
              <w:rPr>
                <w:i/>
                <w:iCs/>
                <w:lang w:val="de-AT"/>
              </w:rPr>
            </w:pPr>
            <w:r w:rsidRPr="008D21FC">
              <w:rPr>
                <w:i/>
                <w:iCs/>
                <w:lang w:val="de-AT"/>
              </w:rPr>
              <w:t>Bewertung von Förderprogrammen, Work-Life-Balance und Geschlechtergerechtigkeit, ungleiche Arbeitsbelastung von Akademikerinnen</w:t>
            </w:r>
          </w:p>
          <w:p w14:paraId="6488B90C" w14:textId="77777777" w:rsidR="007621C4" w:rsidRPr="008D21FC" w:rsidRDefault="007621C4" w:rsidP="007621C4">
            <w:pPr>
              <w:rPr>
                <w:i/>
                <w:iCs/>
                <w:lang w:val="de-AT"/>
              </w:rPr>
            </w:pPr>
          </w:p>
          <w:p w14:paraId="6C2FDFB1" w14:textId="77777777" w:rsidR="007621C4" w:rsidRPr="008D21FC" w:rsidRDefault="007621C4" w:rsidP="007621C4">
            <w:pPr>
              <w:rPr>
                <w:i/>
                <w:iCs/>
                <w:lang w:val="de-AT"/>
              </w:rPr>
            </w:pPr>
            <w:r w:rsidRPr="008D21FC">
              <w:rPr>
                <w:i/>
                <w:iCs/>
                <w:lang w:val="de-AT"/>
              </w:rPr>
              <w:t>Nutzung des vom GEPARD-Projekt erstellten Handbuchs zur Verbesserung der Geschlechtergleichstellung in der Praxis</w:t>
            </w:r>
          </w:p>
          <w:p w14:paraId="6CA857F0" w14:textId="593D1413" w:rsidR="00FD60BB" w:rsidRPr="007621C4" w:rsidRDefault="00FD60BB">
            <w:pPr>
              <w:rPr>
                <w:lang w:val="de-AT"/>
              </w:rPr>
            </w:pPr>
          </w:p>
        </w:tc>
      </w:tr>
    </w:tbl>
    <w:p w14:paraId="40C0660B" w14:textId="77777777" w:rsidR="00FD60BB" w:rsidRPr="008D21FC" w:rsidRDefault="009A4F71">
      <w:pPr>
        <w:rPr>
          <w:lang w:val="de-AT"/>
        </w:rPr>
      </w:pPr>
      <w:r w:rsidRPr="008D21FC">
        <w:rPr>
          <w:lang w:val="de-AT"/>
        </w:rPr>
        <w:t xml:space="preserve"> </w:t>
      </w:r>
    </w:p>
    <w:p w14:paraId="30178512" w14:textId="77777777" w:rsidR="00FD60BB" w:rsidRPr="008D21FC" w:rsidRDefault="009A4F71">
      <w:pPr>
        <w:rPr>
          <w:b/>
          <w:lang w:val="en-US"/>
        </w:rPr>
      </w:pPr>
      <w:r w:rsidRPr="008D21FC">
        <w:rPr>
          <w:b/>
          <w:lang w:val="en-US"/>
        </w:rPr>
        <w:t>PART 4. OF SCENARIO: ADDITIONAL MATERIALS (WORKSHEET, CARDS, PICTURES, RECORDINGS</w:t>
      </w:r>
    </w:p>
    <w:p w14:paraId="64A8EC4F" w14:textId="0E5E4C2A" w:rsidR="001D448E" w:rsidRPr="008D21FC" w:rsidRDefault="004B213F">
      <w:pPr>
        <w:rPr>
          <w:b/>
          <w:sz w:val="24"/>
          <w:szCs w:val="24"/>
          <w:lang w:val="en-US"/>
        </w:rPr>
      </w:pPr>
      <w:proofErr w:type="spellStart"/>
      <w:r w:rsidRPr="008D21FC">
        <w:rPr>
          <w:b/>
          <w:sz w:val="24"/>
          <w:szCs w:val="24"/>
          <w:lang w:val="en-US"/>
        </w:rPr>
        <w:t>Folien</w:t>
      </w:r>
      <w:proofErr w:type="spellEnd"/>
      <w:r w:rsidRPr="008D21FC">
        <w:rPr>
          <w:b/>
          <w:sz w:val="24"/>
          <w:szCs w:val="24"/>
          <w:lang w:val="en-US"/>
        </w:rPr>
        <w:t xml:space="preserve"> </w:t>
      </w:r>
      <w:r w:rsidR="001D448E" w:rsidRPr="008D21FC">
        <w:rPr>
          <w:b/>
          <w:sz w:val="24"/>
          <w:szCs w:val="24"/>
          <w:lang w:val="en-US"/>
        </w:rPr>
        <w:t xml:space="preserve">Gender Equality in </w:t>
      </w:r>
      <w:r w:rsidR="002202AE" w:rsidRPr="008D21FC">
        <w:rPr>
          <w:b/>
          <w:sz w:val="24"/>
          <w:szCs w:val="24"/>
          <w:lang w:val="en-US"/>
        </w:rPr>
        <w:t xml:space="preserve">European Union Law </w:t>
      </w:r>
      <w:proofErr w:type="spellStart"/>
      <w:r w:rsidR="001D448E" w:rsidRPr="008D21FC">
        <w:rPr>
          <w:b/>
          <w:sz w:val="24"/>
          <w:szCs w:val="24"/>
          <w:lang w:val="en-US"/>
        </w:rPr>
        <w:t>Law</w:t>
      </w:r>
      <w:proofErr w:type="spellEnd"/>
    </w:p>
    <w:p w14:paraId="281CBFE6" w14:textId="7D461259" w:rsidR="00747ED5" w:rsidRPr="008D21FC" w:rsidRDefault="00747ED5" w:rsidP="00747ED5">
      <w:pPr>
        <w:rPr>
          <w:b/>
          <w:sz w:val="24"/>
          <w:szCs w:val="24"/>
          <w:lang w:val="en-US"/>
        </w:rPr>
      </w:pPr>
      <w:r w:rsidRPr="008D21FC">
        <w:rPr>
          <w:b/>
          <w:sz w:val="24"/>
          <w:szCs w:val="24"/>
          <w:lang w:val="en-US"/>
        </w:rPr>
        <w:t xml:space="preserve">Texts of legal sources and extracts from case </w:t>
      </w:r>
      <w:proofErr w:type="gramStart"/>
      <w:r w:rsidRPr="008D21FC">
        <w:rPr>
          <w:b/>
          <w:sz w:val="24"/>
          <w:szCs w:val="24"/>
          <w:lang w:val="en-US"/>
        </w:rPr>
        <w:t>law</w:t>
      </w:r>
      <w:proofErr w:type="gramEnd"/>
      <w:r w:rsidRPr="008D21FC">
        <w:rPr>
          <w:b/>
          <w:sz w:val="24"/>
          <w:szCs w:val="24"/>
          <w:lang w:val="en-US"/>
        </w:rPr>
        <w:t xml:space="preserve"> </w:t>
      </w:r>
    </w:p>
    <w:p w14:paraId="043AD839" w14:textId="7CB20E2F" w:rsidR="007758E9" w:rsidRPr="008D21FC" w:rsidRDefault="007758E9" w:rsidP="00747ED5">
      <w:pPr>
        <w:rPr>
          <w:b/>
          <w:sz w:val="24"/>
          <w:szCs w:val="24"/>
          <w:lang w:val="en-US"/>
        </w:rPr>
      </w:pPr>
      <w:r w:rsidRPr="008D21FC">
        <w:rPr>
          <w:b/>
          <w:sz w:val="24"/>
          <w:szCs w:val="24"/>
          <w:lang w:val="en-US"/>
        </w:rPr>
        <w:t xml:space="preserve">Recent developments in EU gender equality law </w:t>
      </w:r>
      <w:hyperlink r:id="rId8" w:history="1">
        <w:r w:rsidRPr="008D21FC">
          <w:rPr>
            <w:rStyle w:val="Hyperlink"/>
            <w:sz w:val="24"/>
            <w:szCs w:val="24"/>
            <w:lang w:val="en-US"/>
          </w:rPr>
          <w:t>Equality between men and women | Fact Sheets on the European Union | European Parliament (europa.eu)</w:t>
        </w:r>
      </w:hyperlink>
    </w:p>
    <w:p w14:paraId="33618C44" w14:textId="35C05DFD" w:rsidR="00747ED5" w:rsidRPr="008D21FC" w:rsidRDefault="00B50A43">
      <w:pPr>
        <w:rPr>
          <w:b/>
          <w:sz w:val="24"/>
          <w:szCs w:val="24"/>
          <w:lang w:val="en-US"/>
        </w:rPr>
      </w:pPr>
      <w:r w:rsidRPr="008D21FC">
        <w:rPr>
          <w:b/>
          <w:sz w:val="24"/>
          <w:szCs w:val="24"/>
          <w:lang w:val="en-US"/>
        </w:rPr>
        <w:t>Video about gender equality in the Euro</w:t>
      </w:r>
      <w:r w:rsidR="00BE7379" w:rsidRPr="008D21FC">
        <w:rPr>
          <w:b/>
          <w:sz w:val="24"/>
          <w:szCs w:val="24"/>
          <w:lang w:val="en-US"/>
        </w:rPr>
        <w:t>p</w:t>
      </w:r>
      <w:r w:rsidRPr="008D21FC">
        <w:rPr>
          <w:b/>
          <w:sz w:val="24"/>
          <w:szCs w:val="24"/>
          <w:lang w:val="en-US"/>
        </w:rPr>
        <w:t xml:space="preserve">ean Union </w:t>
      </w:r>
      <w:hyperlink r:id="rId9" w:history="1">
        <w:r w:rsidR="007700A0" w:rsidRPr="008D21FC">
          <w:rPr>
            <w:rStyle w:val="Hyperlink"/>
            <w:sz w:val="24"/>
            <w:szCs w:val="24"/>
            <w:lang w:val="en-US"/>
          </w:rPr>
          <w:t>EP Committee on Women’s Rights and Gender Equality Enhancing gender equality through common European action on care - Multimedia Centre (europa.eu)</w:t>
        </w:r>
      </w:hyperlink>
    </w:p>
    <w:p w14:paraId="564E2E21" w14:textId="77777777" w:rsidR="006D3730" w:rsidRPr="006F28E5" w:rsidRDefault="006D3730" w:rsidP="006D3730">
      <w:pPr>
        <w:autoSpaceDE w:val="0"/>
        <w:autoSpaceDN w:val="0"/>
        <w:adjustRightInd w:val="0"/>
        <w:spacing w:after="0" w:line="240" w:lineRule="auto"/>
        <w:rPr>
          <w:rFonts w:asciiTheme="minorHAnsi" w:eastAsia="Calibri" w:hAnsiTheme="minorHAnsi" w:cstheme="minorHAnsi"/>
          <w:b/>
          <w:bCs/>
          <w:sz w:val="24"/>
          <w:szCs w:val="24"/>
          <w:lang w:val="en-US" w:eastAsia="de-AT"/>
        </w:rPr>
      </w:pPr>
      <w:r w:rsidRPr="008D21FC">
        <w:rPr>
          <w:rStyle w:val="Hyperlink"/>
          <w:rFonts w:asciiTheme="minorHAnsi" w:hAnsiTheme="minorHAnsi" w:cstheme="minorHAnsi"/>
          <w:b/>
          <w:bCs/>
          <w:color w:val="000000" w:themeColor="text1"/>
          <w:sz w:val="24"/>
          <w:szCs w:val="24"/>
          <w:u w:val="none"/>
          <w:lang w:val="en-US"/>
        </w:rPr>
        <w:t xml:space="preserve">Further reading: </w:t>
      </w:r>
      <w:r w:rsidRPr="006F28E5">
        <w:rPr>
          <w:rFonts w:asciiTheme="minorHAnsi" w:eastAsia="Calibri" w:hAnsiTheme="minorHAnsi" w:cstheme="minorHAnsi"/>
          <w:b/>
          <w:bCs/>
          <w:sz w:val="24"/>
          <w:szCs w:val="24"/>
          <w:lang w:val="en-US" w:eastAsia="de-AT"/>
        </w:rPr>
        <w:t xml:space="preserve">Marc De Vos, The European Court of </w:t>
      </w:r>
      <w:proofErr w:type="gramStart"/>
      <w:r w:rsidRPr="006F28E5">
        <w:rPr>
          <w:rFonts w:asciiTheme="minorHAnsi" w:eastAsia="Calibri" w:hAnsiTheme="minorHAnsi" w:cstheme="minorHAnsi"/>
          <w:b/>
          <w:bCs/>
          <w:sz w:val="24"/>
          <w:szCs w:val="24"/>
          <w:lang w:val="en-US" w:eastAsia="de-AT"/>
        </w:rPr>
        <w:t>Justice</w:t>
      </w:r>
      <w:proofErr w:type="gramEnd"/>
      <w:r w:rsidRPr="006F28E5">
        <w:rPr>
          <w:rFonts w:asciiTheme="minorHAnsi" w:eastAsia="Calibri" w:hAnsiTheme="minorHAnsi" w:cstheme="minorHAnsi"/>
          <w:b/>
          <w:bCs/>
          <w:sz w:val="24"/>
          <w:szCs w:val="24"/>
          <w:lang w:val="en-US" w:eastAsia="de-AT"/>
        </w:rPr>
        <w:t xml:space="preserve"> and the march towards substantive equality in European Union antidiscrimination law, International Journal of</w:t>
      </w:r>
    </w:p>
    <w:p w14:paraId="4E2FD870" w14:textId="52ECB557" w:rsidR="006D3730" w:rsidRPr="006F28E5" w:rsidRDefault="006D3730" w:rsidP="006D3730">
      <w:pPr>
        <w:autoSpaceDE w:val="0"/>
        <w:autoSpaceDN w:val="0"/>
        <w:adjustRightInd w:val="0"/>
        <w:spacing w:after="0" w:line="240" w:lineRule="auto"/>
        <w:rPr>
          <w:rFonts w:asciiTheme="minorHAnsi" w:eastAsia="Calibri" w:hAnsiTheme="minorHAnsi" w:cstheme="minorHAnsi"/>
          <w:b/>
          <w:bCs/>
          <w:sz w:val="24"/>
          <w:szCs w:val="24"/>
          <w:lang w:val="en-US" w:eastAsia="de-AT"/>
        </w:rPr>
      </w:pPr>
      <w:r w:rsidRPr="006F28E5">
        <w:rPr>
          <w:rFonts w:asciiTheme="minorHAnsi" w:eastAsia="Calibri" w:hAnsiTheme="minorHAnsi" w:cstheme="minorHAnsi"/>
          <w:b/>
          <w:bCs/>
          <w:sz w:val="24"/>
          <w:szCs w:val="24"/>
          <w:lang w:val="en-US" w:eastAsia="de-AT"/>
        </w:rPr>
        <w:t>Discrimination and the Law 2020, Vol. 20(1) 62–87 (attached)</w:t>
      </w:r>
    </w:p>
    <w:p w14:paraId="3518BFAE" w14:textId="1C8F2B50" w:rsidR="006D3730" w:rsidRPr="006D3730" w:rsidRDefault="006D3730" w:rsidP="006D3730">
      <w:pPr>
        <w:autoSpaceDE w:val="0"/>
        <w:autoSpaceDN w:val="0"/>
        <w:adjustRightInd w:val="0"/>
        <w:spacing w:after="0" w:line="240" w:lineRule="auto"/>
        <w:rPr>
          <w:rFonts w:asciiTheme="minorHAnsi" w:eastAsia="Calibri" w:hAnsiTheme="minorHAnsi" w:cstheme="minorHAnsi"/>
          <w:b/>
          <w:bCs/>
          <w:sz w:val="24"/>
          <w:szCs w:val="24"/>
          <w:lang w:val="en-US" w:eastAsia="de-AT"/>
        </w:rPr>
      </w:pPr>
    </w:p>
    <w:p w14:paraId="7C2D7C58" w14:textId="77777777" w:rsidR="001D448E" w:rsidRPr="006D3730" w:rsidRDefault="001D448E">
      <w:pPr>
        <w:rPr>
          <w:sz w:val="24"/>
          <w:szCs w:val="24"/>
          <w:lang w:val="en-US"/>
        </w:rPr>
      </w:pPr>
    </w:p>
    <w:sectPr w:rsidR="001D448E" w:rsidRPr="006D3730">
      <w:headerReference w:type="even" r:id="rId10"/>
      <w:headerReference w:type="default" r:id="rId11"/>
      <w:footerReference w:type="even" r:id="rId12"/>
      <w:footerReference w:type="default" r:id="rId13"/>
      <w:headerReference w:type="first" r:id="rId14"/>
      <w:footerReference w:type="first" r:id="rId15"/>
      <w:pgSz w:w="11906" w:h="16838"/>
      <w:pgMar w:top="2051"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B787B" w14:textId="77777777" w:rsidR="00EF44AB" w:rsidRDefault="00EF44AB">
      <w:pPr>
        <w:spacing w:after="0" w:line="240" w:lineRule="auto"/>
      </w:pPr>
      <w:r>
        <w:separator/>
      </w:r>
    </w:p>
  </w:endnote>
  <w:endnote w:type="continuationSeparator" w:id="0">
    <w:p w14:paraId="56380D86" w14:textId="77777777" w:rsidR="00EF44AB" w:rsidRDefault="00EF4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83AF"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D13B"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bookmarkStart w:id="0" w:name="_heading=h.gjdgxs" w:colFirst="0" w:colLast="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0B73"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AD094" w14:textId="77777777" w:rsidR="00EF44AB" w:rsidRDefault="00EF44AB">
      <w:pPr>
        <w:spacing w:after="0" w:line="240" w:lineRule="auto"/>
      </w:pPr>
      <w:r>
        <w:separator/>
      </w:r>
    </w:p>
  </w:footnote>
  <w:footnote w:type="continuationSeparator" w:id="0">
    <w:p w14:paraId="6500EF24" w14:textId="77777777" w:rsidR="00EF44AB" w:rsidRDefault="00EF44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72542"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847A" w14:textId="77777777" w:rsidR="00FD60BB" w:rsidRDefault="00FD60BB">
    <w:pPr>
      <w:pBdr>
        <w:top w:val="nil"/>
        <w:left w:val="nil"/>
        <w:bottom w:val="nil"/>
        <w:right w:val="nil"/>
        <w:between w:val="nil"/>
      </w:pBdr>
      <w:tabs>
        <w:tab w:val="center" w:pos="4536"/>
        <w:tab w:val="right" w:pos="9072"/>
      </w:tabs>
      <w:spacing w:after="0" w:line="240" w:lineRule="auto"/>
      <w:ind w:hanging="567"/>
      <w:rPr>
        <w:color w:val="000000"/>
      </w:rPr>
    </w:pPr>
  </w:p>
  <w:p w14:paraId="52AC1D47" w14:textId="77777777" w:rsidR="00FD60BB" w:rsidRDefault="00FD60BB">
    <w:pPr>
      <w:pBdr>
        <w:top w:val="nil"/>
        <w:left w:val="nil"/>
        <w:bottom w:val="nil"/>
        <w:right w:val="nil"/>
        <w:between w:val="nil"/>
      </w:pBdr>
      <w:tabs>
        <w:tab w:val="center" w:pos="4536"/>
        <w:tab w:val="right" w:pos="9072"/>
      </w:tabs>
      <w:spacing w:after="0" w:line="240" w:lineRule="auto"/>
      <w:ind w:hanging="567"/>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D0EC" w14:textId="77777777" w:rsidR="00FD60BB" w:rsidRDefault="00FD60BB">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B4224"/>
    <w:multiLevelType w:val="hybridMultilevel"/>
    <w:tmpl w:val="2B68841C"/>
    <w:lvl w:ilvl="0" w:tplc="C552719E">
      <w:start w:val="1"/>
      <w:numFmt w:val="bullet"/>
      <w:lvlText w:val="•"/>
      <w:lvlJc w:val="left"/>
      <w:pPr>
        <w:tabs>
          <w:tab w:val="num" w:pos="720"/>
        </w:tabs>
        <w:ind w:left="720" w:hanging="360"/>
      </w:pPr>
      <w:rPr>
        <w:rFonts w:ascii="Arial" w:hAnsi="Arial" w:hint="default"/>
      </w:rPr>
    </w:lvl>
    <w:lvl w:ilvl="1" w:tplc="1CE87826" w:tentative="1">
      <w:start w:val="1"/>
      <w:numFmt w:val="bullet"/>
      <w:lvlText w:val="•"/>
      <w:lvlJc w:val="left"/>
      <w:pPr>
        <w:tabs>
          <w:tab w:val="num" w:pos="1440"/>
        </w:tabs>
        <w:ind w:left="1440" w:hanging="360"/>
      </w:pPr>
      <w:rPr>
        <w:rFonts w:ascii="Arial" w:hAnsi="Arial" w:hint="default"/>
      </w:rPr>
    </w:lvl>
    <w:lvl w:ilvl="2" w:tplc="C06CA37E" w:tentative="1">
      <w:start w:val="1"/>
      <w:numFmt w:val="bullet"/>
      <w:lvlText w:val="•"/>
      <w:lvlJc w:val="left"/>
      <w:pPr>
        <w:tabs>
          <w:tab w:val="num" w:pos="2160"/>
        </w:tabs>
        <w:ind w:left="2160" w:hanging="360"/>
      </w:pPr>
      <w:rPr>
        <w:rFonts w:ascii="Arial" w:hAnsi="Arial" w:hint="default"/>
      </w:rPr>
    </w:lvl>
    <w:lvl w:ilvl="3" w:tplc="926CCCFE" w:tentative="1">
      <w:start w:val="1"/>
      <w:numFmt w:val="bullet"/>
      <w:lvlText w:val="•"/>
      <w:lvlJc w:val="left"/>
      <w:pPr>
        <w:tabs>
          <w:tab w:val="num" w:pos="2880"/>
        </w:tabs>
        <w:ind w:left="2880" w:hanging="360"/>
      </w:pPr>
      <w:rPr>
        <w:rFonts w:ascii="Arial" w:hAnsi="Arial" w:hint="default"/>
      </w:rPr>
    </w:lvl>
    <w:lvl w:ilvl="4" w:tplc="E2E64D1E" w:tentative="1">
      <w:start w:val="1"/>
      <w:numFmt w:val="bullet"/>
      <w:lvlText w:val="•"/>
      <w:lvlJc w:val="left"/>
      <w:pPr>
        <w:tabs>
          <w:tab w:val="num" w:pos="3600"/>
        </w:tabs>
        <w:ind w:left="3600" w:hanging="360"/>
      </w:pPr>
      <w:rPr>
        <w:rFonts w:ascii="Arial" w:hAnsi="Arial" w:hint="default"/>
      </w:rPr>
    </w:lvl>
    <w:lvl w:ilvl="5" w:tplc="0532A998" w:tentative="1">
      <w:start w:val="1"/>
      <w:numFmt w:val="bullet"/>
      <w:lvlText w:val="•"/>
      <w:lvlJc w:val="left"/>
      <w:pPr>
        <w:tabs>
          <w:tab w:val="num" w:pos="4320"/>
        </w:tabs>
        <w:ind w:left="4320" w:hanging="360"/>
      </w:pPr>
      <w:rPr>
        <w:rFonts w:ascii="Arial" w:hAnsi="Arial" w:hint="default"/>
      </w:rPr>
    </w:lvl>
    <w:lvl w:ilvl="6" w:tplc="D2769588" w:tentative="1">
      <w:start w:val="1"/>
      <w:numFmt w:val="bullet"/>
      <w:lvlText w:val="•"/>
      <w:lvlJc w:val="left"/>
      <w:pPr>
        <w:tabs>
          <w:tab w:val="num" w:pos="5040"/>
        </w:tabs>
        <w:ind w:left="5040" w:hanging="360"/>
      </w:pPr>
      <w:rPr>
        <w:rFonts w:ascii="Arial" w:hAnsi="Arial" w:hint="default"/>
      </w:rPr>
    </w:lvl>
    <w:lvl w:ilvl="7" w:tplc="EEE08BFA" w:tentative="1">
      <w:start w:val="1"/>
      <w:numFmt w:val="bullet"/>
      <w:lvlText w:val="•"/>
      <w:lvlJc w:val="left"/>
      <w:pPr>
        <w:tabs>
          <w:tab w:val="num" w:pos="5760"/>
        </w:tabs>
        <w:ind w:left="5760" w:hanging="360"/>
      </w:pPr>
      <w:rPr>
        <w:rFonts w:ascii="Arial" w:hAnsi="Arial" w:hint="default"/>
      </w:rPr>
    </w:lvl>
    <w:lvl w:ilvl="8" w:tplc="67080C34" w:tentative="1">
      <w:start w:val="1"/>
      <w:numFmt w:val="bullet"/>
      <w:lvlText w:val="•"/>
      <w:lvlJc w:val="left"/>
      <w:pPr>
        <w:tabs>
          <w:tab w:val="num" w:pos="6480"/>
        </w:tabs>
        <w:ind w:left="6480" w:hanging="360"/>
      </w:pPr>
      <w:rPr>
        <w:rFonts w:ascii="Arial" w:hAnsi="Arial" w:hint="default"/>
      </w:rPr>
    </w:lvl>
  </w:abstractNum>
  <w:num w:numId="1" w16cid:durableId="980841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0BB"/>
    <w:rsid w:val="0001423C"/>
    <w:rsid w:val="001D448E"/>
    <w:rsid w:val="002202AE"/>
    <w:rsid w:val="0026489F"/>
    <w:rsid w:val="002C351E"/>
    <w:rsid w:val="002F7437"/>
    <w:rsid w:val="004B213F"/>
    <w:rsid w:val="00677639"/>
    <w:rsid w:val="006C2836"/>
    <w:rsid w:val="006D3730"/>
    <w:rsid w:val="006F28E5"/>
    <w:rsid w:val="00747ED5"/>
    <w:rsid w:val="007621C4"/>
    <w:rsid w:val="007700A0"/>
    <w:rsid w:val="007758E9"/>
    <w:rsid w:val="00796AD9"/>
    <w:rsid w:val="008D21FC"/>
    <w:rsid w:val="00916656"/>
    <w:rsid w:val="00932356"/>
    <w:rsid w:val="009A4F71"/>
    <w:rsid w:val="00A0554C"/>
    <w:rsid w:val="00A23A87"/>
    <w:rsid w:val="00AB1887"/>
    <w:rsid w:val="00AF00D9"/>
    <w:rsid w:val="00B50A43"/>
    <w:rsid w:val="00BE7379"/>
    <w:rsid w:val="00CB3DA8"/>
    <w:rsid w:val="00DB42E8"/>
    <w:rsid w:val="00E160E2"/>
    <w:rsid w:val="00EA5193"/>
    <w:rsid w:val="00EF44AB"/>
    <w:rsid w:val="00FD60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0F6B5"/>
  <w15:docId w15:val="{C47EFD21-4CFF-4BB8-8E93-53BFD9029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72F6"/>
    <w:rPr>
      <w:rFonts w:eastAsiaTheme="minorEastAsia"/>
      <w:lang w:eastAsia="pl-PL"/>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Kopfzeile">
    <w:name w:val="header"/>
    <w:basedOn w:val="Standard"/>
    <w:link w:val="KopfzeileZchn"/>
    <w:uiPriority w:val="99"/>
    <w:unhideWhenUsed/>
    <w:rsid w:val="00E65FAD"/>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E65FAD"/>
  </w:style>
  <w:style w:type="paragraph" w:styleId="Fuzeile">
    <w:name w:val="footer"/>
    <w:basedOn w:val="Standard"/>
    <w:link w:val="FuzeileZchn"/>
    <w:uiPriority w:val="99"/>
    <w:unhideWhenUsed/>
    <w:rsid w:val="00E65FAD"/>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E65FAD"/>
  </w:style>
  <w:style w:type="table" w:styleId="Tabellenraster">
    <w:name w:val="Table Grid"/>
    <w:basedOn w:val="NormaleTabelle"/>
    <w:uiPriority w:val="39"/>
    <w:rsid w:val="003172F6"/>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880362"/>
    <w:pPr>
      <w:ind w:left="720"/>
      <w:contextualSpacing/>
    </w:pPr>
  </w:style>
  <w:style w:type="paragraph" w:styleId="Funotentext">
    <w:name w:val="footnote text"/>
    <w:basedOn w:val="Standard"/>
    <w:link w:val="FunotentextZchn"/>
    <w:uiPriority w:val="99"/>
    <w:semiHidden/>
    <w:unhideWhenUsed/>
    <w:rsid w:val="00831BCD"/>
    <w:pPr>
      <w:spacing w:after="0" w:line="240" w:lineRule="auto"/>
    </w:pPr>
    <w:rPr>
      <w:rFonts w:eastAsiaTheme="minorHAnsi"/>
      <w:sz w:val="20"/>
      <w:szCs w:val="20"/>
      <w:lang w:eastAsia="en-US"/>
    </w:rPr>
  </w:style>
  <w:style w:type="character" w:customStyle="1" w:styleId="FunotentextZchn">
    <w:name w:val="Fußnotentext Zchn"/>
    <w:basedOn w:val="Absatz-Standardschriftart"/>
    <w:link w:val="Funotentext"/>
    <w:uiPriority w:val="99"/>
    <w:semiHidden/>
    <w:rsid w:val="00831BCD"/>
    <w:rPr>
      <w:sz w:val="20"/>
      <w:szCs w:val="20"/>
    </w:rPr>
  </w:style>
  <w:style w:type="character" w:styleId="Funotenzeichen">
    <w:name w:val="footnote reference"/>
    <w:basedOn w:val="Absatz-Standardschriftart"/>
    <w:uiPriority w:val="99"/>
    <w:semiHidden/>
    <w:unhideWhenUsed/>
    <w:rsid w:val="00831BCD"/>
    <w:rPr>
      <w:vertAlign w:val="superscript"/>
    </w:rPr>
  </w:style>
  <w:style w:type="character" w:customStyle="1" w:styleId="il">
    <w:name w:val="il"/>
    <w:basedOn w:val="Absatz-Standardschriftart"/>
    <w:rsid w:val="00831BCD"/>
  </w:style>
  <w:style w:type="paragraph" w:styleId="StandardWeb">
    <w:name w:val="Normal (Web)"/>
    <w:basedOn w:val="Standard"/>
    <w:uiPriority w:val="99"/>
    <w:unhideWhenUsed/>
    <w:rsid w:val="002D2EB1"/>
    <w:pPr>
      <w:spacing w:before="100" w:beforeAutospacing="1" w:after="100" w:afterAutospacing="1" w:line="240" w:lineRule="auto"/>
    </w:pPr>
    <w:rPr>
      <w:rFonts w:ascii="Times New Roman" w:eastAsia="Times New Roman" w:hAnsi="Times New Roman" w:cs="Times New Roman"/>
      <w:sz w:val="24"/>
      <w:szCs w:val="24"/>
    </w:rPr>
  </w:style>
  <w:style w:type="paragraph" w:styleId="Untertitel">
    <w:name w:val="Subtitle"/>
    <w:basedOn w:val="Standard"/>
    <w:next w:val="Standar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9">
    <w:name w:val="9"/>
    <w:basedOn w:val="TableNormal1"/>
    <w:pPr>
      <w:spacing w:after="0" w:line="240" w:lineRule="auto"/>
    </w:pPr>
    <w:tblPr>
      <w:tblStyleRowBandSize w:val="1"/>
      <w:tblStyleColBandSize w:val="1"/>
      <w:tblCellMar>
        <w:left w:w="108" w:type="dxa"/>
        <w:right w:w="108" w:type="dxa"/>
      </w:tblCellMar>
    </w:tblPr>
  </w:style>
  <w:style w:type="table" w:customStyle="1" w:styleId="8">
    <w:name w:val="8"/>
    <w:basedOn w:val="TableNormal1"/>
    <w:pPr>
      <w:spacing w:after="0" w:line="240" w:lineRule="auto"/>
    </w:pPr>
    <w:tblPr>
      <w:tblStyleRowBandSize w:val="1"/>
      <w:tblStyleColBandSize w:val="1"/>
      <w:tblCellMar>
        <w:left w:w="108" w:type="dxa"/>
        <w:right w:w="108" w:type="dxa"/>
      </w:tblCellMar>
    </w:tblPr>
  </w:style>
  <w:style w:type="table" w:customStyle="1" w:styleId="7">
    <w:name w:val="7"/>
    <w:basedOn w:val="TableNormal1"/>
    <w:pPr>
      <w:spacing w:after="0" w:line="240" w:lineRule="auto"/>
    </w:pPr>
    <w:tblPr>
      <w:tblStyleRowBandSize w:val="1"/>
      <w:tblStyleColBandSize w:val="1"/>
      <w:tblCellMar>
        <w:left w:w="108" w:type="dxa"/>
        <w:right w:w="108" w:type="dxa"/>
      </w:tblCellMar>
    </w:tblPr>
  </w:style>
  <w:style w:type="table" w:customStyle="1" w:styleId="6">
    <w:name w:val="6"/>
    <w:basedOn w:val="TableNormal1"/>
    <w:pPr>
      <w:spacing w:after="0" w:line="240" w:lineRule="auto"/>
    </w:pPr>
    <w:tblPr>
      <w:tblStyleRowBandSize w:val="1"/>
      <w:tblStyleColBandSize w:val="1"/>
      <w:tblCellMar>
        <w:left w:w="108" w:type="dxa"/>
        <w:right w:w="108" w:type="dxa"/>
      </w:tblCellMar>
    </w:tblPr>
  </w:style>
  <w:style w:type="table" w:customStyle="1" w:styleId="5">
    <w:name w:val="5"/>
    <w:basedOn w:val="TableNormal1"/>
    <w:pPr>
      <w:spacing w:after="0" w:line="240" w:lineRule="auto"/>
    </w:pPr>
    <w:tblPr>
      <w:tblStyleRowBandSize w:val="1"/>
      <w:tblStyleColBandSize w:val="1"/>
      <w:tblCellMar>
        <w:left w:w="108" w:type="dxa"/>
        <w:right w:w="108" w:type="dxa"/>
      </w:tblCellMar>
    </w:tblPr>
  </w:style>
  <w:style w:type="table" w:customStyle="1" w:styleId="4">
    <w:name w:val="4"/>
    <w:basedOn w:val="TableNormal1"/>
    <w:pPr>
      <w:spacing w:after="0" w:line="240" w:lineRule="auto"/>
    </w:pPr>
    <w:tblPr>
      <w:tblStyleRowBandSize w:val="1"/>
      <w:tblStyleColBandSize w:val="1"/>
      <w:tblCellMar>
        <w:left w:w="108" w:type="dxa"/>
        <w:right w:w="108" w:type="dxa"/>
      </w:tblCellMar>
    </w:tbl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pl-PL"/>
    </w:rPr>
  </w:style>
  <w:style w:type="character" w:styleId="Kommentarzeichen">
    <w:name w:val="annotation reference"/>
    <w:basedOn w:val="Absatz-Standardschriftart"/>
    <w:uiPriority w:val="99"/>
    <w:semiHidden/>
    <w:unhideWhenUsed/>
    <w:rPr>
      <w:sz w:val="16"/>
      <w:szCs w:val="16"/>
    </w:rPr>
  </w:style>
  <w:style w:type="table" w:customStyle="1" w:styleId="3">
    <w:name w:val="3"/>
    <w:basedOn w:val="TableNormal2"/>
    <w:pPr>
      <w:spacing w:after="0" w:line="240" w:lineRule="auto"/>
    </w:pPr>
    <w:tblPr>
      <w:tblStyleRowBandSize w:val="1"/>
      <w:tblStyleColBandSize w:val="1"/>
      <w:tblCellMar>
        <w:left w:w="108" w:type="dxa"/>
        <w:right w:w="108" w:type="dxa"/>
      </w:tblCellMar>
    </w:tblPr>
  </w:style>
  <w:style w:type="table" w:customStyle="1" w:styleId="2">
    <w:name w:val="2"/>
    <w:basedOn w:val="TableNormal2"/>
    <w:pPr>
      <w:spacing w:after="0" w:line="240" w:lineRule="auto"/>
    </w:pPr>
    <w:tblPr>
      <w:tblStyleRowBandSize w:val="1"/>
      <w:tblStyleColBandSize w:val="1"/>
      <w:tblCellMar>
        <w:left w:w="108" w:type="dxa"/>
        <w:right w:w="108" w:type="dxa"/>
      </w:tblCellMar>
    </w:tblPr>
  </w:style>
  <w:style w:type="table" w:customStyle="1" w:styleId="1">
    <w:name w:val="1"/>
    <w:basedOn w:val="TableNormal2"/>
    <w:pPr>
      <w:spacing w:after="0" w:line="240" w:lineRule="auto"/>
    </w:pPr>
    <w:tblPr>
      <w:tblStyleRowBandSize w:val="1"/>
      <w:tblStyleColBandSize w:val="1"/>
      <w:tblCellMar>
        <w:left w:w="108" w:type="dxa"/>
        <w:right w:w="108" w:type="dxa"/>
      </w:tblCellMar>
    </w:tblPr>
  </w:style>
  <w:style w:type="character" w:styleId="Hyperlink">
    <w:name w:val="Hyperlink"/>
    <w:basedOn w:val="Absatz-Standardschriftart"/>
    <w:uiPriority w:val="99"/>
    <w:unhideWhenUsed/>
    <w:rsid w:val="00932356"/>
    <w:rPr>
      <w:color w:val="0563C1" w:themeColor="hyperlink"/>
      <w:u w:val="single"/>
    </w:rPr>
  </w:style>
  <w:style w:type="character" w:styleId="NichtaufgelsteErwhnung">
    <w:name w:val="Unresolved Mention"/>
    <w:basedOn w:val="Absatz-Standardschriftart"/>
    <w:uiPriority w:val="99"/>
    <w:semiHidden/>
    <w:unhideWhenUsed/>
    <w:rsid w:val="00932356"/>
    <w:rPr>
      <w:color w:val="605E5C"/>
      <w:shd w:val="clear" w:color="auto" w:fill="E1DFDD"/>
    </w:rPr>
  </w:style>
  <w:style w:type="paragraph" w:styleId="HTMLVorformatiert">
    <w:name w:val="HTML Preformatted"/>
    <w:basedOn w:val="Standard"/>
    <w:link w:val="HTMLVorformatiertZchn"/>
    <w:uiPriority w:val="99"/>
    <w:unhideWhenUsed/>
    <w:rsid w:val="006F28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AT" w:eastAsia="de-AT"/>
    </w:rPr>
  </w:style>
  <w:style w:type="character" w:customStyle="1" w:styleId="HTMLVorformatiertZchn">
    <w:name w:val="HTML Vorformatiert Zchn"/>
    <w:basedOn w:val="Absatz-Standardschriftart"/>
    <w:link w:val="HTMLVorformatiert"/>
    <w:uiPriority w:val="99"/>
    <w:rsid w:val="006F28E5"/>
    <w:rPr>
      <w:rFonts w:ascii="Courier New" w:eastAsia="Times New Roman" w:hAnsi="Courier New" w:cs="Courier New"/>
      <w:sz w:val="20"/>
      <w:szCs w:val="20"/>
      <w:lang w:val="de-AT"/>
    </w:rPr>
  </w:style>
  <w:style w:type="character" w:customStyle="1" w:styleId="y2iqfc">
    <w:name w:val="y2iqfc"/>
    <w:basedOn w:val="Absatz-Standardschriftart"/>
    <w:rsid w:val="006F2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5622">
      <w:bodyDiv w:val="1"/>
      <w:marLeft w:val="0"/>
      <w:marRight w:val="0"/>
      <w:marTop w:val="0"/>
      <w:marBottom w:val="0"/>
      <w:divBdr>
        <w:top w:val="none" w:sz="0" w:space="0" w:color="auto"/>
        <w:left w:val="none" w:sz="0" w:space="0" w:color="auto"/>
        <w:bottom w:val="none" w:sz="0" w:space="0" w:color="auto"/>
        <w:right w:val="none" w:sz="0" w:space="0" w:color="auto"/>
      </w:divBdr>
    </w:div>
    <w:div w:id="103548971">
      <w:bodyDiv w:val="1"/>
      <w:marLeft w:val="0"/>
      <w:marRight w:val="0"/>
      <w:marTop w:val="0"/>
      <w:marBottom w:val="0"/>
      <w:divBdr>
        <w:top w:val="none" w:sz="0" w:space="0" w:color="auto"/>
        <w:left w:val="none" w:sz="0" w:space="0" w:color="auto"/>
        <w:bottom w:val="none" w:sz="0" w:space="0" w:color="auto"/>
        <w:right w:val="none" w:sz="0" w:space="0" w:color="auto"/>
      </w:divBdr>
    </w:div>
    <w:div w:id="123274764">
      <w:bodyDiv w:val="1"/>
      <w:marLeft w:val="0"/>
      <w:marRight w:val="0"/>
      <w:marTop w:val="0"/>
      <w:marBottom w:val="0"/>
      <w:divBdr>
        <w:top w:val="none" w:sz="0" w:space="0" w:color="auto"/>
        <w:left w:val="none" w:sz="0" w:space="0" w:color="auto"/>
        <w:bottom w:val="none" w:sz="0" w:space="0" w:color="auto"/>
        <w:right w:val="none" w:sz="0" w:space="0" w:color="auto"/>
      </w:divBdr>
    </w:div>
    <w:div w:id="362903620">
      <w:bodyDiv w:val="1"/>
      <w:marLeft w:val="0"/>
      <w:marRight w:val="0"/>
      <w:marTop w:val="0"/>
      <w:marBottom w:val="0"/>
      <w:divBdr>
        <w:top w:val="none" w:sz="0" w:space="0" w:color="auto"/>
        <w:left w:val="none" w:sz="0" w:space="0" w:color="auto"/>
        <w:bottom w:val="none" w:sz="0" w:space="0" w:color="auto"/>
        <w:right w:val="none" w:sz="0" w:space="0" w:color="auto"/>
      </w:divBdr>
    </w:div>
    <w:div w:id="416024925">
      <w:bodyDiv w:val="1"/>
      <w:marLeft w:val="0"/>
      <w:marRight w:val="0"/>
      <w:marTop w:val="0"/>
      <w:marBottom w:val="0"/>
      <w:divBdr>
        <w:top w:val="none" w:sz="0" w:space="0" w:color="auto"/>
        <w:left w:val="none" w:sz="0" w:space="0" w:color="auto"/>
        <w:bottom w:val="none" w:sz="0" w:space="0" w:color="auto"/>
        <w:right w:val="none" w:sz="0" w:space="0" w:color="auto"/>
      </w:divBdr>
    </w:div>
    <w:div w:id="1202085151">
      <w:bodyDiv w:val="1"/>
      <w:marLeft w:val="0"/>
      <w:marRight w:val="0"/>
      <w:marTop w:val="0"/>
      <w:marBottom w:val="0"/>
      <w:divBdr>
        <w:top w:val="none" w:sz="0" w:space="0" w:color="auto"/>
        <w:left w:val="none" w:sz="0" w:space="0" w:color="auto"/>
        <w:bottom w:val="none" w:sz="0" w:space="0" w:color="auto"/>
        <w:right w:val="none" w:sz="0" w:space="0" w:color="auto"/>
      </w:divBdr>
    </w:div>
    <w:div w:id="1295403151">
      <w:bodyDiv w:val="1"/>
      <w:marLeft w:val="0"/>
      <w:marRight w:val="0"/>
      <w:marTop w:val="0"/>
      <w:marBottom w:val="0"/>
      <w:divBdr>
        <w:top w:val="none" w:sz="0" w:space="0" w:color="auto"/>
        <w:left w:val="none" w:sz="0" w:space="0" w:color="auto"/>
        <w:bottom w:val="none" w:sz="0" w:space="0" w:color="auto"/>
        <w:right w:val="none" w:sz="0" w:space="0" w:color="auto"/>
      </w:divBdr>
      <w:divsChild>
        <w:div w:id="345403114">
          <w:marLeft w:val="360"/>
          <w:marRight w:val="0"/>
          <w:marTop w:val="200"/>
          <w:marBottom w:val="0"/>
          <w:divBdr>
            <w:top w:val="none" w:sz="0" w:space="0" w:color="auto"/>
            <w:left w:val="none" w:sz="0" w:space="0" w:color="auto"/>
            <w:bottom w:val="none" w:sz="0" w:space="0" w:color="auto"/>
            <w:right w:val="none" w:sz="0" w:space="0" w:color="auto"/>
          </w:divBdr>
        </w:div>
        <w:div w:id="1646665098">
          <w:marLeft w:val="360"/>
          <w:marRight w:val="0"/>
          <w:marTop w:val="200"/>
          <w:marBottom w:val="0"/>
          <w:divBdr>
            <w:top w:val="none" w:sz="0" w:space="0" w:color="auto"/>
            <w:left w:val="none" w:sz="0" w:space="0" w:color="auto"/>
            <w:bottom w:val="none" w:sz="0" w:space="0" w:color="auto"/>
            <w:right w:val="none" w:sz="0" w:space="0" w:color="auto"/>
          </w:divBdr>
        </w:div>
      </w:divsChild>
    </w:div>
    <w:div w:id="1356922940">
      <w:bodyDiv w:val="1"/>
      <w:marLeft w:val="0"/>
      <w:marRight w:val="0"/>
      <w:marTop w:val="0"/>
      <w:marBottom w:val="0"/>
      <w:divBdr>
        <w:top w:val="none" w:sz="0" w:space="0" w:color="auto"/>
        <w:left w:val="none" w:sz="0" w:space="0" w:color="auto"/>
        <w:bottom w:val="none" w:sz="0" w:space="0" w:color="auto"/>
        <w:right w:val="none" w:sz="0" w:space="0" w:color="auto"/>
      </w:divBdr>
    </w:div>
    <w:div w:id="1606619699">
      <w:bodyDiv w:val="1"/>
      <w:marLeft w:val="0"/>
      <w:marRight w:val="0"/>
      <w:marTop w:val="0"/>
      <w:marBottom w:val="0"/>
      <w:divBdr>
        <w:top w:val="none" w:sz="0" w:space="0" w:color="auto"/>
        <w:left w:val="none" w:sz="0" w:space="0" w:color="auto"/>
        <w:bottom w:val="none" w:sz="0" w:space="0" w:color="auto"/>
        <w:right w:val="none" w:sz="0" w:space="0" w:color="auto"/>
      </w:divBdr>
    </w:div>
    <w:div w:id="1734354769">
      <w:bodyDiv w:val="1"/>
      <w:marLeft w:val="0"/>
      <w:marRight w:val="0"/>
      <w:marTop w:val="0"/>
      <w:marBottom w:val="0"/>
      <w:divBdr>
        <w:top w:val="none" w:sz="0" w:space="0" w:color="auto"/>
        <w:left w:val="none" w:sz="0" w:space="0" w:color="auto"/>
        <w:bottom w:val="none" w:sz="0" w:space="0" w:color="auto"/>
        <w:right w:val="none" w:sz="0" w:space="0" w:color="auto"/>
      </w:divBdr>
    </w:div>
    <w:div w:id="1873419479">
      <w:bodyDiv w:val="1"/>
      <w:marLeft w:val="0"/>
      <w:marRight w:val="0"/>
      <w:marTop w:val="0"/>
      <w:marBottom w:val="0"/>
      <w:divBdr>
        <w:top w:val="none" w:sz="0" w:space="0" w:color="auto"/>
        <w:left w:val="none" w:sz="0" w:space="0" w:color="auto"/>
        <w:bottom w:val="none" w:sz="0" w:space="0" w:color="auto"/>
        <w:right w:val="none" w:sz="0" w:space="0" w:color="auto"/>
      </w:divBdr>
    </w:div>
    <w:div w:id="1944341170">
      <w:bodyDiv w:val="1"/>
      <w:marLeft w:val="0"/>
      <w:marRight w:val="0"/>
      <w:marTop w:val="0"/>
      <w:marBottom w:val="0"/>
      <w:divBdr>
        <w:top w:val="none" w:sz="0" w:space="0" w:color="auto"/>
        <w:left w:val="none" w:sz="0" w:space="0" w:color="auto"/>
        <w:bottom w:val="none" w:sz="0" w:space="0" w:color="auto"/>
        <w:right w:val="none" w:sz="0" w:space="0" w:color="auto"/>
      </w:divBdr>
    </w:div>
    <w:div w:id="1969124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arl.europa.eu/factsheets/en/sheet/59/equality-between-men-and-wom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ultimedia.europarl.europa.eu/en/video/ep-committee-on-womens-rights-and-gender-equality-enhancing-gender-equality-through-common-european-action-on-care_I212704"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J2238fMQ1Fi4i5a/ZJqAmFMqaA==">AMUW2mVBAfHCCukG0cPXx9srX7WW7oTLR1LgwmFfpV0xvSS6bDVdBpj+sqBLCHkcLsWQ6wRZw7vkcwI4mCu3qFFhhRVWH+AG6pV3dnOqqNJf5V0sSUia3BIypaDqnCpE8VIgVfH1XFaX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5015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PLUS</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Margiel</dc:creator>
  <cp:keywords/>
  <dc:description/>
  <cp:lastModifiedBy>Ulrike Brandl</cp:lastModifiedBy>
  <cp:revision>3</cp:revision>
  <dcterms:created xsi:type="dcterms:W3CDTF">2024-03-15T12:16:00Z</dcterms:created>
  <dcterms:modified xsi:type="dcterms:W3CDTF">2024-03-15T12:26:00Z</dcterms:modified>
</cp:coreProperties>
</file>